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color w:val="777777"/>
          <w:kern w:val="36"/>
          <w:sz w:val="31"/>
          <w:szCs w:val="31"/>
        </w:rPr>
      </w:pPr>
      <w:r w:rsidRPr="00EE56FC">
        <w:rPr>
          <w:rFonts w:ascii="inherit" w:eastAsia="Times New Roman" w:hAnsi="inherit" w:cs="Times New Roman"/>
          <w:color w:val="777777"/>
          <w:kern w:val="36"/>
          <w:sz w:val="31"/>
          <w:szCs w:val="31"/>
        </w:rPr>
        <w:t>Научный журнал</w:t>
      </w:r>
    </w:p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b/>
          <w:bCs/>
          <w:color w:val="343434"/>
          <w:kern w:val="36"/>
          <w:sz w:val="57"/>
          <w:szCs w:val="57"/>
        </w:rPr>
      </w:pPr>
      <w:r w:rsidRPr="00EE56FC">
        <w:rPr>
          <w:rFonts w:ascii="inherit" w:eastAsia="Times New Roman" w:hAnsi="inherit" w:cs="Times New Roman"/>
          <w:b/>
          <w:bCs/>
          <w:color w:val="343434"/>
          <w:kern w:val="36"/>
          <w:sz w:val="57"/>
          <w:szCs w:val="57"/>
        </w:rPr>
        <w:t>Успехи современного естествознания</w:t>
      </w:r>
    </w:p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EE56FC">
        <w:rPr>
          <w:rFonts w:ascii="inherit" w:eastAsia="Times New Roman" w:hAnsi="inherit" w:cs="Times New Roman"/>
          <w:color w:val="777777"/>
          <w:kern w:val="36"/>
          <w:sz w:val="26"/>
          <w:szCs w:val="26"/>
        </w:rPr>
        <w:t>ISSN 1681-7494</w:t>
      </w:r>
    </w:p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EE56FC">
        <w:rPr>
          <w:rFonts w:ascii="inherit" w:eastAsia="Times New Roman" w:hAnsi="inherit" w:cs="Times New Roman"/>
          <w:color w:val="777777"/>
          <w:kern w:val="36"/>
          <w:sz w:val="26"/>
        </w:rPr>
        <w:t> </w:t>
      </w:r>
    </w:p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EE56FC">
        <w:rPr>
          <w:rFonts w:ascii="inherit" w:eastAsia="Times New Roman" w:hAnsi="inherit" w:cs="Times New Roman"/>
          <w:color w:val="777777"/>
          <w:kern w:val="36"/>
          <w:sz w:val="26"/>
          <w:szCs w:val="26"/>
        </w:rPr>
        <w:t>"Перечень" ВАК</w:t>
      </w:r>
    </w:p>
    <w:p w:rsidR="00EE56FC" w:rsidRPr="00EE56FC" w:rsidRDefault="00EE56FC" w:rsidP="00EE56FC">
      <w:pPr>
        <w:shd w:val="clear" w:color="auto" w:fill="F1F1F1"/>
        <w:spacing w:before="150" w:after="150" w:line="240" w:lineRule="auto"/>
        <w:jc w:val="both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EE56FC">
        <w:rPr>
          <w:rFonts w:ascii="inherit" w:eastAsia="Times New Roman" w:hAnsi="inherit" w:cs="Times New Roman"/>
          <w:color w:val="777777"/>
          <w:kern w:val="36"/>
          <w:sz w:val="26"/>
        </w:rPr>
        <w:t> </w:t>
      </w:r>
    </w:p>
    <w:p w:rsidR="00EE56FC" w:rsidRPr="00EE56FC" w:rsidRDefault="00EE56FC" w:rsidP="00EE56FC">
      <w:pPr>
        <w:numPr>
          <w:ilvl w:val="0"/>
          <w:numId w:val="3"/>
        </w:num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EE56FC" w:rsidRPr="00EE56FC" w:rsidRDefault="00EE56FC" w:rsidP="00EE56FC">
      <w:p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Успехи современного естествознания. – 2015. –</w:t>
      </w:r>
      <w:r w:rsidRPr="00EE56FC">
        <w:rPr>
          <w:rFonts w:ascii="Times New Roman" w:eastAsia="Times New Roman" w:hAnsi="Times New Roman" w:cs="Times New Roman"/>
          <w:color w:val="666666"/>
          <w:sz w:val="18"/>
        </w:rPr>
        <w:t> </w:t>
      </w: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№ 11 (часть 2)</w:t>
      </w:r>
      <w:r w:rsidRPr="00EE56FC">
        <w:rPr>
          <w:rFonts w:ascii="Times New Roman" w:eastAsia="Times New Roman" w:hAnsi="Times New Roman" w:cs="Times New Roman"/>
          <w:color w:val="666666"/>
          <w:sz w:val="18"/>
        </w:rPr>
        <w:t> </w:t>
      </w: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– С. 179-181</w:t>
      </w:r>
    </w:p>
    <w:p w:rsidR="00EE56FC" w:rsidRPr="00EE56FC" w:rsidRDefault="00EE56FC" w:rsidP="00EE56FC">
      <w:pPr>
        <w:numPr>
          <w:ilvl w:val="0"/>
          <w:numId w:val="3"/>
        </w:num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EE56FC" w:rsidRPr="00EE56FC" w:rsidRDefault="00EE56FC" w:rsidP="00EE56FC">
      <w:p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Сельскохозяйственные науки (06.01.00, 06.03.00)</w:t>
      </w:r>
    </w:p>
    <w:p w:rsidR="00EE56FC" w:rsidRPr="00EE56FC" w:rsidRDefault="00EE56FC" w:rsidP="00EE56FC">
      <w:pPr>
        <w:numPr>
          <w:ilvl w:val="0"/>
          <w:numId w:val="3"/>
        </w:num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sz w:val="24"/>
          <w:szCs w:val="24"/>
        </w:rPr>
        <w:t>УДК</w:t>
      </w:r>
    </w:p>
    <w:p w:rsidR="00EE56FC" w:rsidRPr="00EE56FC" w:rsidRDefault="00EE56FC" w:rsidP="00EE56FC">
      <w:p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УДК 631.421.1</w:t>
      </w:r>
    </w:p>
    <w:p w:rsidR="00EE56FC" w:rsidRPr="00EE56FC" w:rsidRDefault="00EE56FC" w:rsidP="00EE56FC">
      <w:pPr>
        <w:numPr>
          <w:ilvl w:val="0"/>
          <w:numId w:val="3"/>
        </w:num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sz w:val="24"/>
          <w:szCs w:val="24"/>
        </w:rPr>
        <w:t>Страницы</w:t>
      </w:r>
    </w:p>
    <w:p w:rsidR="00EE56FC" w:rsidRPr="00EE56FC" w:rsidRDefault="00EE56FC" w:rsidP="00EE56FC">
      <w:pPr>
        <w:spacing w:before="100" w:beforeAutospacing="1" w:after="30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Times New Roman" w:eastAsia="Times New Roman" w:hAnsi="Times New Roman" w:cs="Times New Roman"/>
          <w:color w:val="666666"/>
          <w:sz w:val="18"/>
          <w:szCs w:val="18"/>
        </w:rPr>
        <w:t>179–181</w:t>
      </w:r>
    </w:p>
    <w:p w:rsidR="00EE56FC" w:rsidRPr="00EE56FC" w:rsidRDefault="00EE56FC" w:rsidP="00EE56FC">
      <w:pPr>
        <w:spacing w:before="300" w:after="150" w:line="240" w:lineRule="auto"/>
        <w:jc w:val="both"/>
        <w:outlineLvl w:val="2"/>
        <w:rPr>
          <w:rFonts w:ascii="inherit" w:eastAsia="Times New Roman" w:hAnsi="inherit" w:cs="Times New Roman"/>
          <w:color w:val="343434"/>
          <w:sz w:val="33"/>
          <w:szCs w:val="33"/>
        </w:rPr>
      </w:pPr>
      <w:r w:rsidRPr="00EE56FC">
        <w:rPr>
          <w:rFonts w:ascii="inherit" w:eastAsia="Times New Roman" w:hAnsi="inherit" w:cs="Times New Roman"/>
          <w:color w:val="343434"/>
          <w:sz w:val="33"/>
          <w:szCs w:val="33"/>
        </w:rPr>
        <w:t>ВЛИЯНИЕ СОДЕРЖАНИЯ СОЛЕЙ В СОСТАВЕ СУБСТРАТА НА ЖИЗНЕДЕЯТЕЛЬНОСТЬ ДОЖДЕВЫХ ЧЕРВЕЙ В УСЛОВИЯХ ПРИАРАЛЬЯ</w:t>
      </w:r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w0-tab0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АВТОРЫ</w:t>
        </w:r>
      </w:hyperlink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w0-tab1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РЕЗЮМЕ</w:t>
        </w:r>
      </w:hyperlink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w0-tab2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ФАЙЛЫ</w:t>
        </w:r>
      </w:hyperlink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w0-tab3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КЛЮЧЕВЫЕ СЛОВА</w:t>
        </w:r>
      </w:hyperlink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w0-tab4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ЛИТЕРАТУРА</w:t>
        </w:r>
      </w:hyperlink>
    </w:p>
    <w:p w:rsidR="00EE56FC" w:rsidRPr="00EE56FC" w:rsidRDefault="00855FB2" w:rsidP="00EE56FC">
      <w:pPr>
        <w:numPr>
          <w:ilvl w:val="0"/>
          <w:numId w:val="4"/>
        </w:numPr>
        <w:pBdr>
          <w:bottom w:val="single" w:sz="6" w:space="0" w:color="F0F0F0"/>
        </w:pBd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w0-tab5" w:history="1">
        <w:r w:rsidR="00EE56FC" w:rsidRPr="00EE56FC">
          <w:rPr>
            <w:rFonts w:ascii="Times New Roman" w:eastAsia="Times New Roman" w:hAnsi="Times New Roman" w:cs="Times New Roman"/>
            <w:caps/>
            <w:color w:val="666666"/>
            <w:sz w:val="20"/>
            <w:u w:val="single"/>
          </w:rPr>
          <w:t>ENGLISH</w:t>
        </w:r>
      </w:hyperlink>
    </w:p>
    <w:p w:rsidR="00EE56FC" w:rsidRPr="00EE56FC" w:rsidRDefault="00EE56FC" w:rsidP="00EE56F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Жумадилова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Ж.Ш.</w:t>
      </w:r>
      <w:r w:rsidRPr="00EE56FC">
        <w:rPr>
          <w:rFonts w:ascii="Times New Roman" w:eastAsia="Times New Roman" w:hAnsi="Times New Roman" w:cs="Times New Roman"/>
          <w:sz w:val="19"/>
        </w:rPr>
        <w:t>  </w:t>
      </w: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Кыргызбай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М.Н.</w:t>
      </w:r>
      <w:r w:rsidRPr="00EE56FC">
        <w:rPr>
          <w:rFonts w:ascii="Times New Roman" w:eastAsia="Times New Roman" w:hAnsi="Times New Roman" w:cs="Times New Roman"/>
          <w:sz w:val="19"/>
        </w:rPr>
        <w:t>  </w:t>
      </w: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2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Шорабаев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Е.Ж.</w:t>
      </w:r>
      <w:r w:rsidRPr="00EE56FC">
        <w:rPr>
          <w:rFonts w:ascii="Times New Roman" w:eastAsia="Times New Roman" w:hAnsi="Times New Roman" w:cs="Times New Roman"/>
          <w:sz w:val="19"/>
        </w:rPr>
        <w:t>  </w:t>
      </w: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Абдиева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К.М.</w:t>
      </w:r>
      <w:r w:rsidRPr="00EE56FC">
        <w:rPr>
          <w:rFonts w:ascii="Times New Roman" w:eastAsia="Times New Roman" w:hAnsi="Times New Roman" w:cs="Times New Roman"/>
          <w:sz w:val="19"/>
        </w:rPr>
        <w:t>  </w:t>
      </w: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3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Саданов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А.К.</w:t>
      </w:r>
      <w:r w:rsidRPr="00EE56FC">
        <w:rPr>
          <w:rFonts w:ascii="Times New Roman" w:eastAsia="Times New Roman" w:hAnsi="Times New Roman" w:cs="Times New Roman"/>
          <w:sz w:val="19"/>
        </w:rPr>
        <w:t>  </w:t>
      </w: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4</w:t>
      </w:r>
    </w:p>
    <w:p w:rsidR="00EE56FC" w:rsidRPr="00EE56FC" w:rsidRDefault="00855FB2" w:rsidP="00EE56FC">
      <w:pPr>
        <w:shd w:val="clear" w:color="auto" w:fill="FAFAFA"/>
        <w:spacing w:before="300" w:after="30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55FB2">
        <w:rPr>
          <w:rFonts w:ascii="Times New Roman" w:eastAsia="Times New Roman" w:hAnsi="Times New Roman" w:cs="Times New Roman"/>
          <w:sz w:val="19"/>
          <w:szCs w:val="19"/>
        </w:rPr>
        <w:pict>
          <v:rect id="_x0000_i1025" style="width:0;height:0" o:hralign="center" o:hrstd="t" o:hr="t" fillcolor="#a0a0a0" stroked="f"/>
        </w:pict>
      </w:r>
    </w:p>
    <w:p w:rsidR="00EE56FC" w:rsidRPr="00EE56FC" w:rsidRDefault="00EE56FC" w:rsidP="00EE56FC">
      <w:pPr>
        <w:shd w:val="clear" w:color="auto" w:fill="FAFAFA"/>
        <w:spacing w:before="300" w:after="30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r w:rsidRPr="00EE56FC">
        <w:rPr>
          <w:rFonts w:ascii="Times New Roman" w:eastAsia="Times New Roman" w:hAnsi="Times New Roman" w:cs="Times New Roman"/>
          <w:sz w:val="19"/>
          <w:szCs w:val="19"/>
        </w:rPr>
        <w:t>Филиал «Прикладная микробиология» РГП на ПХВ «Института микробиологии и вирусологии» КН МОН РК</w:t>
      </w:r>
    </w:p>
    <w:p w:rsidR="00EE56FC" w:rsidRPr="00EE56FC" w:rsidRDefault="00EE56FC" w:rsidP="00EE56FC">
      <w:pPr>
        <w:shd w:val="clear" w:color="auto" w:fill="FAFAFA"/>
        <w:spacing w:before="300" w:after="30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2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Филиал «Прикладная микробиология» РГП на ПХВ «Института микробиологии и вирусологии» КН МОН РК, 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Кызылорда</w:t>
      </w:r>
      <w:proofErr w:type="spellEnd"/>
    </w:p>
    <w:p w:rsidR="00EE56FC" w:rsidRPr="00EE56FC" w:rsidRDefault="00EE56FC" w:rsidP="00EE56FC">
      <w:pPr>
        <w:shd w:val="clear" w:color="auto" w:fill="FAFAFA"/>
        <w:spacing w:before="300" w:after="30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3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Атырауский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 государственный университет им. Х. 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Досмагамбетова</w:t>
      </w:r>
      <w:proofErr w:type="spellEnd"/>
      <w:r w:rsidRPr="00EE56FC">
        <w:rPr>
          <w:rFonts w:ascii="Times New Roman" w:eastAsia="Times New Roman" w:hAnsi="Times New Roman" w:cs="Times New Roman"/>
          <w:sz w:val="19"/>
          <w:szCs w:val="19"/>
        </w:rPr>
        <w:t>, Атырау</w:t>
      </w:r>
    </w:p>
    <w:p w:rsidR="00EE56FC" w:rsidRPr="00EE56FC" w:rsidRDefault="00EE56FC" w:rsidP="00EE56FC">
      <w:pPr>
        <w:shd w:val="clear" w:color="auto" w:fill="FAFAFA"/>
        <w:spacing w:before="300" w:after="30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56FC">
        <w:rPr>
          <w:rFonts w:ascii="Times New Roman" w:eastAsia="Times New Roman" w:hAnsi="Times New Roman" w:cs="Times New Roman"/>
          <w:b/>
          <w:bCs/>
          <w:color w:val="FFFFFF"/>
          <w:sz w:val="14"/>
        </w:rPr>
        <w:t>4</w:t>
      </w:r>
      <w:r w:rsidRPr="00EE56FC">
        <w:rPr>
          <w:rFonts w:ascii="Times New Roman" w:eastAsia="Times New Roman" w:hAnsi="Times New Roman" w:cs="Times New Roman"/>
          <w:sz w:val="19"/>
        </w:rPr>
        <w:t> </w:t>
      </w:r>
      <w:r w:rsidRPr="00EE56FC">
        <w:rPr>
          <w:rFonts w:ascii="Times New Roman" w:eastAsia="Times New Roman" w:hAnsi="Times New Roman" w:cs="Times New Roman"/>
          <w:sz w:val="19"/>
          <w:szCs w:val="19"/>
        </w:rPr>
        <w:t xml:space="preserve">РГП на ПХВ «Институт микробиологии и вирусологии» КН МОН РК, </w:t>
      </w:r>
      <w:proofErr w:type="spellStart"/>
      <w:r w:rsidRPr="00EE56FC">
        <w:rPr>
          <w:rFonts w:ascii="Times New Roman" w:eastAsia="Times New Roman" w:hAnsi="Times New Roman" w:cs="Times New Roman"/>
          <w:sz w:val="19"/>
          <w:szCs w:val="19"/>
        </w:rPr>
        <w:t>Алматы</w:t>
      </w:r>
      <w:proofErr w:type="spellEnd"/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Агроэкологическая обстановка орошаемых земель в Приаралье взаимосвязана с минерализацией коллекторно-дренажного стока воды, которая изменяется в пределах от 2 до 5 г/л и имеет тенденцию к увеличению. За последние 10 лет она повысилась на 60 %. Это свидетельствует о продолжающихся процессах вторичного засоления территории, обусловленных, с одной стороны, ростом минерализации оросительных и грунтовых вод, а с другой – недостаточной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дренированностью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территории [1, 2].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Кызылординская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область, охватывающая </w:t>
      </w:r>
      <w:proofErr w:type="gramStart"/>
      <w:r w:rsidRPr="00EE56FC">
        <w:rPr>
          <w:rFonts w:ascii="Times New Roman" w:eastAsia="Times New Roman" w:hAnsi="Times New Roman" w:cs="Times New Roman"/>
          <w:sz w:val="21"/>
          <w:szCs w:val="21"/>
        </w:rPr>
        <w:t>почти</w:t>
      </w:r>
      <w:proofErr w:type="gram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что всю территорию Приаралья, специализирована на производстве риса, который, как известно, произрастает при сплошном затоплении с высокой оросительной нормой 35 м?/га. Полив риса с высокой оросительной нормой приводит к двум противоположенным результатам. С одной стороны, почвы под него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рассоляются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, в то же время близлежащие к нему земли резко засоляются, с другой стороны, происходит деструктуризация почвы – разрушается почвенная структура, резко снижается содержанное гумуса и других питательных веществ в почве, в связи с чем </w:t>
      </w:r>
      <w:r w:rsidRPr="00EE56FC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проблемы с восполнением дефицита гумуса и питательных веществ в почве [3].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Многие фермеры и дачники получили в собственность неплодородную или малоплодородную землю. Перед ними стоит задача сделать ее плодородной, и в кратчайшие сроки. Для создания плодородного слоя почвы требуется много сил, средств и времени. </w:t>
      </w:r>
      <w:proofErr w:type="gramStart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Расчеты здесь простые, но многовариантные: нанести плодородный слой с каких-либо пойменных земель, как это делали раньше некоторые народы, создавая террасное земледелие на горных каменистых склонах; пустить землю в залежь, т.е. прекратить ее обрабатывать и не использовать под сельскохозяйственные культуры в течение многих лет, земля зарастает травостоем – «отдыхает»; удобрить землю навозом (как делали крестьяне) или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органо-минеральной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смесью [4].</w:t>
      </w:r>
      <w:proofErr w:type="gramEnd"/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Плодородие почв создаётся почвенными микробами и червями. Но их вытравили (уничтожили) посредством многолетнего применения химических удобрений и химических средств защиты растений. Почва оскудела и больших урожаев не даёт. А пищевая и кормовая продукция, выращенная на таких почвах, стала вредоносной для всех её потребителей. Биологическая технология возрождения плодородия почв – одна из естественных технологий биологических систем, созданных самой природой на благо всего живого на Земле [5].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Сегодня каждый агроном старается использовать в своей работе именно экологическое удобрение. Их получают в результате переработки навоза рогатого скота при помощи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биогазового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оборудования. Полученная масса, которую еще называют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биогумус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, обладает многими преимуществами, благодаря которым удается избежать распространения сорняков в почве (в процессе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вермикомпостирования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семена сорняков проходят через организм червя и теряют свою всхожесть). К тому же, в биомассе вы не найдете тяжелых металлов или семена сорняков, поскольку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биогазовая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установка проводит тщательную фильтрацию исходного вещества [6].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Широкое и повсеместное использование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биогумуса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в сельском хозяйстве позволит земледельцам существенно сократить сроки накопления гумуса в почве, быстро возродить их потенциальное плодородие, сделать почву более устойчивой к ветровой и водной эрозиям.</w:t>
      </w:r>
      <w:proofErr w:type="gram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Таким образом, промышленное производство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биогумуса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> – это единственный способ быстрого восстановления огромных площадей наших полей, отравленных аммиачной водой и другими вредными для почвы химическими удобрениями и пестицидами [7].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Субстратом являются различные виды компостов, прошедшие процесс ферментации по технологическому регламенту.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Цель исследования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Изучение влияния содержания солей в составе субстрата на жизнедеятельность дождевых червей в условиях Приаралья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Материалы и методы исследования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lastRenderedPageBreak/>
        <w:t>Объектом исследований являются дождевые черви «Старатель». Черви промышленной популяции – это технологическая (специализированная) порода гибридного червя, названного «СТАРАТЕЛЬ» [8]. Выбор этого представителя беспозвоночных обусловлен тем, что он легко переходит на другой корм.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Методы контроля качества и жизнеспособности дождевых червей в субстрате определяют визуальным путем выборочного осмотра партии по характерному цвету червей, их активности, чистоте их поверхности, размеру и форме.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Для определения количества дождевых червей из разных мест производственного ложа пробоотборником сечением 10 см</w:t>
      </w:r>
      <w:proofErr w:type="gramStart"/>
      <w:r w:rsidRPr="00EE56FC">
        <w:rPr>
          <w:rFonts w:ascii="Times New Roman" w:eastAsia="Times New Roman" w:hAnsi="Times New Roman" w:cs="Times New Roman"/>
          <w:sz w:val="21"/>
          <w:szCs w:val="21"/>
        </w:rPr>
        <w:t>2</w:t>
      </w:r>
      <w:proofErr w:type="gram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отбирают не менее пяти проб из разных мест и формируют объединенную пробу (далее – проба) общей массой не менее 1 кг. Подсчет дождевых червей в пробе проводят вручную [8].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Результаты исследования и их обсуждение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Для изучения влияния содержания солей в составе субстрата на жизнедеятельность дождевого червя «Старатель» в условиях Приаралья подготовлен питательный субстрат конского навоза и навоза КРС. Для исследования в ящики с субстратами было заложено по 300 червей. Выявлено, что через 15 дней большая смертность дождевых червей отмечена в субстратах КРС (15 %) и конского навоза (72,6 %).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C целью регулирования его состава и свой</w:t>
      </w:r>
      <w:proofErr w:type="gramStart"/>
      <w:r w:rsidRPr="00EE56FC">
        <w:rPr>
          <w:rFonts w:ascii="Times New Roman" w:eastAsia="Times New Roman" w:hAnsi="Times New Roman" w:cs="Times New Roman"/>
          <w:sz w:val="21"/>
          <w:szCs w:val="21"/>
        </w:rPr>
        <w:t>ств пр</w:t>
      </w:r>
      <w:proofErr w:type="gram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оведен химический анализ питательного субстрата для дождевых червей. Определено содержание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воднорастворимых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солей в субстрате. Результаты анализа представлены в табл. 1.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Таблица 1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Результаты химического анализа субстратов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146"/>
        <w:gridCol w:w="1506"/>
        <w:gridCol w:w="743"/>
        <w:gridCol w:w="699"/>
        <w:gridCol w:w="679"/>
      </w:tblGrid>
      <w:tr w:rsidR="00EE56FC" w:rsidRPr="00EE56FC" w:rsidTr="00EE56F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Сухой остаток, %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мг-экв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. на 100 г почвы/ %</w:t>
            </w:r>
          </w:p>
        </w:tc>
      </w:tr>
      <w:tr w:rsidR="00EE56FC" w:rsidRPr="00EE56FC" w:rsidTr="00EE56F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HCO3-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CO32-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SO42-</w:t>
            </w:r>
          </w:p>
        </w:tc>
      </w:tr>
      <w:tr w:rsidR="00EE56FC" w:rsidRPr="00EE56FC" w:rsidTr="00EE56F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Субстрат конского навоза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1,165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0,122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0,485</w:t>
            </w:r>
          </w:p>
        </w:tc>
      </w:tr>
      <w:tr w:rsidR="00EE56FC" w:rsidRPr="00EE56FC" w:rsidTr="00EE56F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Субстрат навоза КРС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2,977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0,579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1,478</w:t>
            </w:r>
          </w:p>
        </w:tc>
      </w:tr>
    </w:tbl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По результатам анализа выявлено, что наибольшая степень засоления в обоих вариантах – хлоридно-сульфатное, поэтому причина гибели дождевых червей из-за повышенности солевого режима субстрата. Высокая степень засоленности хлоридами и сульфатами негативно влияет на жизнедеятельность дождевых червей. Чтобы снизить их содержание, проводили вымывание субстрата. Результаты химических анализов субстратов после их вымывания представлены в табл. 2.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Таблица 2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Результаты химического анализа субстратов после вымывания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146"/>
        <w:gridCol w:w="1311"/>
        <w:gridCol w:w="734"/>
        <w:gridCol w:w="691"/>
        <w:gridCol w:w="696"/>
      </w:tblGrid>
      <w:tr w:rsidR="00EE56FC" w:rsidRPr="00EE56FC" w:rsidTr="00EE56F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Сухой остаток,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мг-экв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. на 100 г почвы/ %</w:t>
            </w:r>
          </w:p>
        </w:tc>
      </w:tr>
      <w:tr w:rsidR="00EE56FC" w:rsidRPr="00EE56FC" w:rsidTr="00EE56F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6FC" w:rsidRPr="00EE56FC" w:rsidRDefault="00EE56FC" w:rsidP="00EE5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HCO3-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CO32-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SO42-</w:t>
            </w:r>
          </w:p>
        </w:tc>
      </w:tr>
      <w:tr w:rsidR="00EE56FC" w:rsidRPr="00EE56FC" w:rsidTr="00EE56F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Субстрат конского навоза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0,015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0,0005</w:t>
            </w:r>
          </w:p>
        </w:tc>
      </w:tr>
      <w:tr w:rsidR="00EE56FC" w:rsidRPr="00EE56FC" w:rsidTr="00EE56F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Субстрат навоз КРС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/в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  <w:p w:rsidR="00EE56FC" w:rsidRPr="00EE56FC" w:rsidRDefault="00EE56FC" w:rsidP="00EE56F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6FC">
              <w:rPr>
                <w:rFonts w:ascii="Times New Roman" w:eastAsia="Times New Roman" w:hAnsi="Times New Roman" w:cs="Times New Roman"/>
                <w:sz w:val="18"/>
                <w:szCs w:val="18"/>
              </w:rPr>
              <w:t>0,0135</w:t>
            </w:r>
          </w:p>
        </w:tc>
      </w:tr>
    </w:tbl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После вымывания содержание </w:t>
      </w:r>
      <w:proofErr w:type="spellStart"/>
      <w:r w:rsidRPr="00EE56FC">
        <w:rPr>
          <w:rFonts w:ascii="Times New Roman" w:eastAsia="Times New Roman" w:hAnsi="Times New Roman" w:cs="Times New Roman"/>
          <w:sz w:val="21"/>
          <w:szCs w:val="21"/>
        </w:rPr>
        <w:t>водорастворимых</w:t>
      </w:r>
      <w:proofErr w:type="spellEnd"/>
      <w:r w:rsidRPr="00EE56FC">
        <w:rPr>
          <w:rFonts w:ascii="Times New Roman" w:eastAsia="Times New Roman" w:hAnsi="Times New Roman" w:cs="Times New Roman"/>
          <w:sz w:val="21"/>
          <w:szCs w:val="21"/>
        </w:rPr>
        <w:t xml:space="preserve"> солей значительно снизилось.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Выводы</w:t>
      </w:r>
    </w:p>
    <w:p w:rsidR="00EE56FC" w:rsidRPr="00EE56FC" w:rsidRDefault="00EE56FC" w:rsidP="00EE56F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6FC">
        <w:rPr>
          <w:rFonts w:ascii="Times New Roman" w:eastAsia="Times New Roman" w:hAnsi="Times New Roman" w:cs="Times New Roman"/>
          <w:sz w:val="21"/>
          <w:szCs w:val="21"/>
        </w:rPr>
        <w:t>Таким образом, в лабораторных условиях проведено регулирование состава и свойств питательного субстрата для дождевых червей с помощью вымывания навоза и созданы благоприятное условия для жизнедеятельности червей.</w:t>
      </w:r>
    </w:p>
    <w:p w:rsidR="00EE56FC" w:rsidRPr="00EE56FC" w:rsidRDefault="00855FB2" w:rsidP="00EE56F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B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EE56FC" w:rsidRPr="00EE56FC" w:rsidRDefault="00EE56FC" w:rsidP="00EE56FC">
      <w:pPr>
        <w:spacing w:before="300" w:after="150" w:line="240" w:lineRule="auto"/>
        <w:jc w:val="both"/>
        <w:outlineLvl w:val="2"/>
        <w:rPr>
          <w:rFonts w:ascii="inherit" w:eastAsia="Times New Roman" w:hAnsi="inherit" w:cs="Times New Roman"/>
          <w:color w:val="343434"/>
          <w:sz w:val="33"/>
          <w:szCs w:val="33"/>
        </w:rPr>
      </w:pPr>
      <w:r w:rsidRPr="00EE56FC">
        <w:rPr>
          <w:rFonts w:ascii="inherit" w:eastAsia="Times New Roman" w:hAnsi="inherit" w:cs="Times New Roman"/>
          <w:color w:val="343434"/>
          <w:sz w:val="33"/>
          <w:szCs w:val="33"/>
        </w:rPr>
        <w:t>Библиографическая ссылка</w:t>
      </w:r>
    </w:p>
    <w:p w:rsidR="00EE56FC" w:rsidRPr="00EE56FC" w:rsidRDefault="00EE56FC" w:rsidP="00EE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FC">
        <w:rPr>
          <w:rFonts w:ascii="Times New Roman" w:eastAsia="Times New Roman" w:hAnsi="Times New Roman" w:cs="Times New Roman"/>
          <w:sz w:val="24"/>
          <w:szCs w:val="24"/>
        </w:rPr>
        <w:t>Жумадилова</w:t>
      </w:r>
      <w:proofErr w:type="spellEnd"/>
      <w:r w:rsidRPr="00EE56FC">
        <w:rPr>
          <w:rFonts w:ascii="Times New Roman" w:eastAsia="Times New Roman" w:hAnsi="Times New Roman" w:cs="Times New Roman"/>
          <w:sz w:val="24"/>
          <w:szCs w:val="24"/>
        </w:rPr>
        <w:t xml:space="preserve"> Ж.Ш., </w:t>
      </w:r>
      <w:proofErr w:type="spellStart"/>
      <w:r w:rsidRPr="00EE56FC">
        <w:rPr>
          <w:rFonts w:ascii="Times New Roman" w:eastAsia="Times New Roman" w:hAnsi="Times New Roman" w:cs="Times New Roman"/>
          <w:sz w:val="24"/>
          <w:szCs w:val="24"/>
        </w:rPr>
        <w:t>Кыргызбай</w:t>
      </w:r>
      <w:proofErr w:type="spellEnd"/>
      <w:r w:rsidRPr="00EE56FC">
        <w:rPr>
          <w:rFonts w:ascii="Times New Roman" w:eastAsia="Times New Roman" w:hAnsi="Times New Roman" w:cs="Times New Roman"/>
          <w:sz w:val="24"/>
          <w:szCs w:val="24"/>
        </w:rPr>
        <w:t xml:space="preserve"> М.Н., </w:t>
      </w:r>
      <w:proofErr w:type="spellStart"/>
      <w:r w:rsidRPr="00EE56FC">
        <w:rPr>
          <w:rFonts w:ascii="Times New Roman" w:eastAsia="Times New Roman" w:hAnsi="Times New Roman" w:cs="Times New Roman"/>
          <w:sz w:val="24"/>
          <w:szCs w:val="24"/>
        </w:rPr>
        <w:t>Шорабаев</w:t>
      </w:r>
      <w:proofErr w:type="spellEnd"/>
      <w:r w:rsidRPr="00EE56FC">
        <w:rPr>
          <w:rFonts w:ascii="Times New Roman" w:eastAsia="Times New Roman" w:hAnsi="Times New Roman" w:cs="Times New Roman"/>
          <w:sz w:val="24"/>
          <w:szCs w:val="24"/>
        </w:rPr>
        <w:t xml:space="preserve"> Е.Ж., </w:t>
      </w:r>
      <w:proofErr w:type="spellStart"/>
      <w:r w:rsidRPr="00EE56FC">
        <w:rPr>
          <w:rFonts w:ascii="Times New Roman" w:eastAsia="Times New Roman" w:hAnsi="Times New Roman" w:cs="Times New Roman"/>
          <w:sz w:val="24"/>
          <w:szCs w:val="24"/>
        </w:rPr>
        <w:t>Абдиева</w:t>
      </w:r>
      <w:proofErr w:type="spellEnd"/>
      <w:r w:rsidRPr="00EE56FC">
        <w:rPr>
          <w:rFonts w:ascii="Times New Roman" w:eastAsia="Times New Roman" w:hAnsi="Times New Roman" w:cs="Times New Roman"/>
          <w:sz w:val="24"/>
          <w:szCs w:val="24"/>
        </w:rPr>
        <w:t xml:space="preserve"> К.М., </w:t>
      </w:r>
      <w:proofErr w:type="spellStart"/>
      <w:r w:rsidRPr="00EE56FC">
        <w:rPr>
          <w:rFonts w:ascii="Times New Roman" w:eastAsia="Times New Roman" w:hAnsi="Times New Roman" w:cs="Times New Roman"/>
          <w:sz w:val="24"/>
          <w:szCs w:val="24"/>
        </w:rPr>
        <w:t>Саданов</w:t>
      </w:r>
      <w:proofErr w:type="spellEnd"/>
      <w:r w:rsidRPr="00EE56FC">
        <w:rPr>
          <w:rFonts w:ascii="Times New Roman" w:eastAsia="Times New Roman" w:hAnsi="Times New Roman" w:cs="Times New Roman"/>
          <w:sz w:val="24"/>
          <w:szCs w:val="24"/>
        </w:rPr>
        <w:t xml:space="preserve"> А.К. ВЛИЯНИЕ СОДЕРЖАНИЯ СОЛЕЙ В СОСТАВЕ СУБСТРАТА НА ЖИЗНЕДЕЯТЕЛЬНОСТЬ ДОЖДЕВЫХ ЧЕРВЕЙ В УСЛОВИЯХ ПРИАРАЛЬЯ // Успехи современного естествознания. – 2015. – № 11-2. – С. 179-181;</w:t>
      </w:r>
      <w:r w:rsidRPr="00EE56FC">
        <w:rPr>
          <w:rFonts w:ascii="Times New Roman" w:eastAsia="Times New Roman" w:hAnsi="Times New Roman" w:cs="Times New Roman"/>
          <w:sz w:val="24"/>
          <w:szCs w:val="24"/>
        </w:rPr>
        <w:br/>
        <w:t>URL: http://www.natural-sciences.ru/ru/article/view?id=35697 (дата обращения: 31.03.2016).</w:t>
      </w:r>
    </w:p>
    <w:p w:rsidR="00997F8D" w:rsidRDefault="00997F8D" w:rsidP="00EE56FC">
      <w:pPr>
        <w:jc w:val="both"/>
      </w:pPr>
    </w:p>
    <w:sectPr w:rsidR="00997F8D" w:rsidSect="0085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7EA"/>
    <w:multiLevelType w:val="multilevel"/>
    <w:tmpl w:val="872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06A30"/>
    <w:multiLevelType w:val="multilevel"/>
    <w:tmpl w:val="1B8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B1983"/>
    <w:multiLevelType w:val="multilevel"/>
    <w:tmpl w:val="DF1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42CF0"/>
    <w:multiLevelType w:val="multilevel"/>
    <w:tmpl w:val="4D7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6FC"/>
    <w:rsid w:val="00855FB2"/>
    <w:rsid w:val="00997F8D"/>
    <w:rsid w:val="00D717F6"/>
    <w:rsid w:val="00EE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B2"/>
  </w:style>
  <w:style w:type="paragraph" w:styleId="1">
    <w:name w:val="heading 1"/>
    <w:basedOn w:val="a"/>
    <w:link w:val="10"/>
    <w:uiPriority w:val="9"/>
    <w:qFormat/>
    <w:rsid w:val="00EE5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5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E56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E56FC"/>
  </w:style>
  <w:style w:type="character" w:styleId="a3">
    <w:name w:val="Hyperlink"/>
    <w:basedOn w:val="a0"/>
    <w:uiPriority w:val="99"/>
    <w:semiHidden/>
    <w:unhideWhenUsed/>
    <w:rsid w:val="00EE56FC"/>
    <w:rPr>
      <w:color w:val="0000FF"/>
      <w:u w:val="single"/>
    </w:rPr>
  </w:style>
  <w:style w:type="character" w:customStyle="1" w:styleId="label">
    <w:name w:val="label"/>
    <w:basedOn w:val="a0"/>
    <w:rsid w:val="00EE56FC"/>
  </w:style>
  <w:style w:type="paragraph" w:styleId="a4">
    <w:name w:val="Normal (Web)"/>
    <w:basedOn w:val="a"/>
    <w:uiPriority w:val="99"/>
    <w:unhideWhenUsed/>
    <w:rsid w:val="00E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224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08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  <w:divsChild>
            <w:div w:id="126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7E7E7"/>
                                    <w:left w:val="none" w:sz="0" w:space="0" w:color="E7E7E7"/>
                                    <w:bottom w:val="none" w:sz="0" w:space="0" w:color="E7E7E7"/>
                                    <w:right w:val="none" w:sz="0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9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870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46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9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7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  <w:divsChild>
                        <w:div w:id="5474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49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298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74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l-sciences.ru/ru/article/view?id=35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l-sciences.ru/ru/article/view?id=356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al-sciences.ru/ru/article/view?id=356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tural-sciences.ru/ru/article/view?id=35697" TargetMode="External"/><Relationship Id="rId10" Type="http://schemas.openxmlformats.org/officeDocument/2006/relationships/hyperlink" Target="http://www.natural-sciences.ru/ru/article/view?id=35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al-sciences.ru/ru/article/view?id=35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</cp:lastModifiedBy>
  <cp:revision>2</cp:revision>
  <dcterms:created xsi:type="dcterms:W3CDTF">2019-04-01T11:07:00Z</dcterms:created>
  <dcterms:modified xsi:type="dcterms:W3CDTF">2019-04-01T11:07:00Z</dcterms:modified>
</cp:coreProperties>
</file>