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BC" w:rsidRPr="00C568BC" w:rsidRDefault="00C568BC" w:rsidP="00C568BC">
      <w:pPr>
        <w:shd w:val="clear" w:color="auto" w:fill="F1F1F1"/>
        <w:spacing w:before="150" w:after="150" w:line="240" w:lineRule="auto"/>
        <w:outlineLvl w:val="0"/>
        <w:rPr>
          <w:rFonts w:ascii="inherit" w:eastAsia="Times New Roman" w:hAnsi="inherit" w:cs="Times New Roman"/>
          <w:color w:val="777777"/>
          <w:kern w:val="36"/>
          <w:sz w:val="31"/>
          <w:szCs w:val="31"/>
        </w:rPr>
      </w:pPr>
      <w:r w:rsidRPr="00C568BC">
        <w:rPr>
          <w:rFonts w:ascii="inherit" w:eastAsia="Times New Roman" w:hAnsi="inherit" w:cs="Times New Roman"/>
          <w:color w:val="777777"/>
          <w:kern w:val="36"/>
          <w:sz w:val="31"/>
          <w:szCs w:val="31"/>
        </w:rPr>
        <w:t>Электронный научный журнал</w:t>
      </w:r>
    </w:p>
    <w:p w:rsidR="00C568BC" w:rsidRPr="00C568BC" w:rsidRDefault="00C568BC" w:rsidP="00C568BC">
      <w:pPr>
        <w:shd w:val="clear" w:color="auto" w:fill="F1F1F1"/>
        <w:spacing w:before="150" w:after="150" w:line="240" w:lineRule="auto"/>
        <w:outlineLvl w:val="0"/>
        <w:rPr>
          <w:rFonts w:ascii="inherit" w:eastAsia="Times New Roman" w:hAnsi="inherit" w:cs="Times New Roman"/>
          <w:b/>
          <w:bCs/>
          <w:color w:val="343434"/>
          <w:kern w:val="36"/>
          <w:sz w:val="57"/>
          <w:szCs w:val="57"/>
        </w:rPr>
      </w:pPr>
      <w:r w:rsidRPr="00C568BC">
        <w:rPr>
          <w:rFonts w:ascii="inherit" w:eastAsia="Times New Roman" w:hAnsi="inherit" w:cs="Times New Roman"/>
          <w:b/>
          <w:bCs/>
          <w:color w:val="343434"/>
          <w:kern w:val="36"/>
          <w:sz w:val="57"/>
          <w:szCs w:val="57"/>
        </w:rPr>
        <w:t>Современные проблемы науки и образования</w:t>
      </w:r>
    </w:p>
    <w:p w:rsidR="00C568BC" w:rsidRPr="00C568BC" w:rsidRDefault="00C568BC" w:rsidP="00C568BC">
      <w:pPr>
        <w:shd w:val="clear" w:color="auto" w:fill="F1F1F1"/>
        <w:spacing w:before="150" w:after="150" w:line="240" w:lineRule="auto"/>
        <w:outlineLvl w:val="0"/>
        <w:rPr>
          <w:rFonts w:ascii="inherit" w:eastAsia="Times New Roman" w:hAnsi="inherit" w:cs="Times New Roman"/>
          <w:color w:val="777777"/>
          <w:kern w:val="36"/>
          <w:sz w:val="26"/>
          <w:szCs w:val="26"/>
        </w:rPr>
      </w:pPr>
      <w:r w:rsidRPr="00C568BC">
        <w:rPr>
          <w:rFonts w:ascii="inherit" w:eastAsia="Times New Roman" w:hAnsi="inherit" w:cs="Times New Roman"/>
          <w:color w:val="777777"/>
          <w:kern w:val="36"/>
          <w:sz w:val="26"/>
          <w:szCs w:val="26"/>
        </w:rPr>
        <w:t>ISSN 2070-7428</w:t>
      </w:r>
    </w:p>
    <w:p w:rsidR="00C568BC" w:rsidRPr="00C568BC" w:rsidRDefault="00C568BC" w:rsidP="00C568BC">
      <w:pPr>
        <w:shd w:val="clear" w:color="auto" w:fill="F1F1F1"/>
        <w:spacing w:before="150" w:after="150" w:line="240" w:lineRule="auto"/>
        <w:outlineLvl w:val="0"/>
        <w:rPr>
          <w:rFonts w:ascii="inherit" w:eastAsia="Times New Roman" w:hAnsi="inherit" w:cs="Times New Roman"/>
          <w:color w:val="777777"/>
          <w:kern w:val="36"/>
          <w:sz w:val="26"/>
          <w:szCs w:val="26"/>
        </w:rPr>
      </w:pPr>
      <w:r w:rsidRPr="00C568BC">
        <w:rPr>
          <w:rFonts w:ascii="inherit" w:eastAsia="Times New Roman" w:hAnsi="inherit" w:cs="Times New Roman"/>
          <w:color w:val="777777"/>
          <w:kern w:val="36"/>
          <w:sz w:val="26"/>
        </w:rPr>
        <w:t> </w:t>
      </w:r>
    </w:p>
    <w:p w:rsidR="00C568BC" w:rsidRPr="00C568BC" w:rsidRDefault="00C568BC" w:rsidP="00C568BC">
      <w:pPr>
        <w:shd w:val="clear" w:color="auto" w:fill="F1F1F1"/>
        <w:spacing w:before="150" w:after="150" w:line="240" w:lineRule="auto"/>
        <w:outlineLvl w:val="0"/>
        <w:rPr>
          <w:rFonts w:ascii="inherit" w:eastAsia="Times New Roman" w:hAnsi="inherit" w:cs="Times New Roman"/>
          <w:color w:val="777777"/>
          <w:kern w:val="36"/>
          <w:sz w:val="26"/>
          <w:szCs w:val="26"/>
        </w:rPr>
      </w:pPr>
      <w:r w:rsidRPr="00C568BC">
        <w:rPr>
          <w:rFonts w:ascii="inherit" w:eastAsia="Times New Roman" w:hAnsi="inherit" w:cs="Times New Roman"/>
          <w:color w:val="777777"/>
          <w:kern w:val="36"/>
          <w:sz w:val="26"/>
          <w:szCs w:val="26"/>
        </w:rPr>
        <w:t>"Перечень" ВАК</w:t>
      </w:r>
    </w:p>
    <w:p w:rsidR="00C568BC" w:rsidRPr="00C568BC" w:rsidRDefault="00C568BC" w:rsidP="00C568BC">
      <w:pPr>
        <w:shd w:val="clear" w:color="auto" w:fill="F1F1F1"/>
        <w:spacing w:before="150" w:after="150" w:line="240" w:lineRule="auto"/>
        <w:outlineLvl w:val="0"/>
        <w:rPr>
          <w:rFonts w:ascii="inherit" w:eastAsia="Times New Roman" w:hAnsi="inherit" w:cs="Times New Roman"/>
          <w:color w:val="777777"/>
          <w:kern w:val="36"/>
          <w:sz w:val="26"/>
          <w:szCs w:val="26"/>
        </w:rPr>
      </w:pPr>
      <w:r w:rsidRPr="00C568BC">
        <w:rPr>
          <w:rFonts w:ascii="inherit" w:eastAsia="Times New Roman" w:hAnsi="inherit" w:cs="Times New Roman"/>
          <w:color w:val="777777"/>
          <w:kern w:val="36"/>
          <w:sz w:val="26"/>
        </w:rPr>
        <w:t> </w:t>
      </w:r>
    </w:p>
    <w:p w:rsidR="00C568BC" w:rsidRPr="00C568BC" w:rsidRDefault="00C568BC" w:rsidP="00C568BC">
      <w:pPr>
        <w:shd w:val="clear" w:color="auto" w:fill="F1F1F1"/>
        <w:spacing w:before="150" w:after="150" w:line="240" w:lineRule="auto"/>
        <w:outlineLvl w:val="0"/>
        <w:rPr>
          <w:rFonts w:ascii="inherit" w:eastAsia="Times New Roman" w:hAnsi="inherit" w:cs="Times New Roman"/>
          <w:color w:val="777777"/>
          <w:kern w:val="36"/>
          <w:sz w:val="26"/>
          <w:szCs w:val="26"/>
        </w:rPr>
      </w:pPr>
      <w:r w:rsidRPr="00C568BC">
        <w:rPr>
          <w:rFonts w:ascii="inherit" w:eastAsia="Times New Roman" w:hAnsi="inherit" w:cs="Times New Roman"/>
          <w:color w:val="777777"/>
          <w:kern w:val="36"/>
          <w:sz w:val="26"/>
          <w:szCs w:val="26"/>
        </w:rPr>
        <w:t>ИФ РИНЦ = 0,536</w:t>
      </w:r>
      <w:r w:rsidRPr="00C568BC">
        <w:rPr>
          <w:rFonts w:ascii="Arial" w:eastAsia="Times New Roman" w:hAnsi="Arial" w:cs="Arial"/>
          <w:color w:val="333333"/>
          <w:sz w:val="20"/>
        </w:rPr>
        <w:t> </w:t>
      </w:r>
    </w:p>
    <w:p w:rsidR="00C568BC" w:rsidRPr="00C568BC" w:rsidRDefault="00F23DF7" w:rsidP="00C568BC">
      <w:pPr>
        <w:numPr>
          <w:ilvl w:val="0"/>
          <w:numId w:val="2"/>
        </w:numPr>
        <w:spacing w:before="100" w:beforeAutospacing="1" w:after="100" w:afterAutospacing="1" w:line="338" w:lineRule="atLeast"/>
        <w:ind w:left="495"/>
        <w:rPr>
          <w:rFonts w:ascii="Arial" w:eastAsia="Times New Roman" w:hAnsi="Arial" w:cs="Arial"/>
          <w:color w:val="333333"/>
          <w:sz w:val="20"/>
          <w:szCs w:val="20"/>
        </w:rPr>
      </w:pPr>
      <w:hyperlink r:id="rId5" w:history="1">
        <w:r w:rsidR="00C568BC" w:rsidRPr="00C568BC">
          <w:rPr>
            <w:rFonts w:ascii="Arial" w:eastAsia="Times New Roman" w:hAnsi="Arial" w:cs="Arial"/>
            <w:color w:val="3D78D8"/>
            <w:sz w:val="20"/>
            <w:u w:val="single"/>
          </w:rPr>
          <w:t>Выпуск журнала № 5 за 2015 год</w:t>
        </w:r>
      </w:hyperlink>
    </w:p>
    <w:p w:rsidR="00C568BC" w:rsidRPr="00C568BC" w:rsidRDefault="00C568BC" w:rsidP="00C568BC">
      <w:pPr>
        <w:spacing w:before="300" w:after="225" w:line="240" w:lineRule="auto"/>
        <w:outlineLvl w:val="2"/>
        <w:rPr>
          <w:rFonts w:ascii="inherit" w:eastAsia="Times New Roman" w:hAnsi="inherit" w:cs="Times New Roman"/>
          <w:color w:val="343434"/>
          <w:sz w:val="33"/>
          <w:szCs w:val="33"/>
        </w:rPr>
      </w:pPr>
      <w:r w:rsidRPr="00C568BC">
        <w:rPr>
          <w:rFonts w:ascii="inherit" w:eastAsia="Times New Roman" w:hAnsi="inherit" w:cs="Times New Roman"/>
          <w:color w:val="343434"/>
          <w:sz w:val="33"/>
          <w:szCs w:val="33"/>
        </w:rPr>
        <w:t>Информация о статье</w:t>
      </w:r>
    </w:p>
    <w:p w:rsidR="00C568BC" w:rsidRPr="00C568BC" w:rsidRDefault="00F23DF7" w:rsidP="00C568B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DF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C568BC" w:rsidRPr="00C568BC" w:rsidRDefault="00C568BC" w:rsidP="00C568BC">
      <w:pPr>
        <w:numPr>
          <w:ilvl w:val="0"/>
          <w:numId w:val="3"/>
        </w:numPr>
        <w:spacing w:before="100" w:beforeAutospacing="1" w:after="300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C568BC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C568BC" w:rsidRPr="00C568BC" w:rsidRDefault="00C568BC" w:rsidP="00C568BC">
      <w:pPr>
        <w:spacing w:before="100" w:beforeAutospacing="1" w:after="300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C568BC">
        <w:rPr>
          <w:rFonts w:ascii="Times New Roman" w:eastAsia="Times New Roman" w:hAnsi="Times New Roman" w:cs="Times New Roman"/>
          <w:color w:val="666666"/>
          <w:sz w:val="18"/>
          <w:szCs w:val="18"/>
        </w:rPr>
        <w:t>Современные проблемы науки и образования. – 2015. –</w:t>
      </w:r>
      <w:r w:rsidRPr="00C568BC">
        <w:rPr>
          <w:rFonts w:ascii="Times New Roman" w:eastAsia="Times New Roman" w:hAnsi="Times New Roman" w:cs="Times New Roman"/>
          <w:color w:val="666666"/>
          <w:sz w:val="18"/>
        </w:rPr>
        <w:t> </w:t>
      </w:r>
      <w:r w:rsidRPr="00C568BC">
        <w:rPr>
          <w:rFonts w:ascii="Times New Roman" w:eastAsia="Times New Roman" w:hAnsi="Times New Roman" w:cs="Times New Roman"/>
          <w:color w:val="666666"/>
          <w:sz w:val="18"/>
          <w:szCs w:val="18"/>
        </w:rPr>
        <w:t>№ 5</w:t>
      </w:r>
    </w:p>
    <w:p w:rsidR="00C568BC" w:rsidRPr="00C568BC" w:rsidRDefault="00C568BC" w:rsidP="00C568BC">
      <w:pPr>
        <w:numPr>
          <w:ilvl w:val="0"/>
          <w:numId w:val="3"/>
        </w:numPr>
        <w:spacing w:before="100" w:beforeAutospacing="1" w:after="300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C568BC">
        <w:rPr>
          <w:rFonts w:ascii="Times New Roman" w:eastAsia="Times New Roman" w:hAnsi="Times New Roman" w:cs="Times New Roman"/>
          <w:sz w:val="24"/>
          <w:szCs w:val="24"/>
        </w:rPr>
        <w:t>Дата публикации</w:t>
      </w:r>
    </w:p>
    <w:p w:rsidR="00C568BC" w:rsidRPr="00C568BC" w:rsidRDefault="00C568BC" w:rsidP="00C568BC">
      <w:pPr>
        <w:spacing w:before="100" w:beforeAutospacing="1" w:after="300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C568BC">
        <w:rPr>
          <w:rFonts w:ascii="Times New Roman" w:eastAsia="Times New Roman" w:hAnsi="Times New Roman" w:cs="Times New Roman"/>
          <w:color w:val="666666"/>
          <w:sz w:val="18"/>
          <w:szCs w:val="18"/>
        </w:rPr>
        <w:t>30.09.2015</w:t>
      </w:r>
    </w:p>
    <w:p w:rsidR="00C568BC" w:rsidRPr="00C568BC" w:rsidRDefault="00C568BC" w:rsidP="00C568BC">
      <w:pPr>
        <w:numPr>
          <w:ilvl w:val="0"/>
          <w:numId w:val="3"/>
        </w:numPr>
        <w:spacing w:before="100" w:beforeAutospacing="1" w:after="300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C568BC">
        <w:rPr>
          <w:rFonts w:ascii="Times New Roman" w:eastAsia="Times New Roman" w:hAnsi="Times New Roman" w:cs="Times New Roman"/>
          <w:sz w:val="24"/>
          <w:szCs w:val="24"/>
        </w:rPr>
        <w:t>Раздел</w:t>
      </w:r>
    </w:p>
    <w:p w:rsidR="00C568BC" w:rsidRPr="00C568BC" w:rsidRDefault="00C568BC" w:rsidP="00C568BC">
      <w:pPr>
        <w:spacing w:before="100" w:beforeAutospacing="1" w:after="300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C568BC">
        <w:rPr>
          <w:rFonts w:ascii="Times New Roman" w:eastAsia="Times New Roman" w:hAnsi="Times New Roman" w:cs="Times New Roman"/>
          <w:color w:val="666666"/>
          <w:sz w:val="18"/>
          <w:szCs w:val="18"/>
        </w:rPr>
        <w:t>Биологические науки (03.02.00)</w:t>
      </w:r>
    </w:p>
    <w:p w:rsidR="00C568BC" w:rsidRPr="00C568BC" w:rsidRDefault="00C568BC" w:rsidP="00C568BC">
      <w:pPr>
        <w:numPr>
          <w:ilvl w:val="0"/>
          <w:numId w:val="3"/>
        </w:numPr>
        <w:spacing w:before="100" w:beforeAutospacing="1" w:after="300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C568BC">
        <w:rPr>
          <w:rFonts w:ascii="Times New Roman" w:eastAsia="Times New Roman" w:hAnsi="Times New Roman" w:cs="Times New Roman"/>
          <w:sz w:val="24"/>
          <w:szCs w:val="24"/>
        </w:rPr>
        <w:t>УДК</w:t>
      </w:r>
    </w:p>
    <w:p w:rsidR="00C568BC" w:rsidRPr="00C568BC" w:rsidRDefault="00C568BC" w:rsidP="00C568BC">
      <w:pPr>
        <w:spacing w:before="100" w:beforeAutospacing="1" w:after="300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C568BC">
        <w:rPr>
          <w:rFonts w:ascii="Times New Roman" w:eastAsia="Times New Roman" w:hAnsi="Times New Roman" w:cs="Times New Roman"/>
          <w:color w:val="666666"/>
          <w:sz w:val="18"/>
          <w:szCs w:val="18"/>
        </w:rPr>
        <w:t>631.8.022.3:559</w:t>
      </w:r>
    </w:p>
    <w:p w:rsidR="00C568BC" w:rsidRPr="00C568BC" w:rsidRDefault="00C568BC" w:rsidP="00C568BC">
      <w:pPr>
        <w:spacing w:before="300" w:after="150" w:line="240" w:lineRule="auto"/>
        <w:outlineLvl w:val="2"/>
        <w:rPr>
          <w:rFonts w:ascii="inherit" w:eastAsia="Times New Roman" w:hAnsi="inherit" w:cs="Times New Roman"/>
          <w:color w:val="343434"/>
          <w:sz w:val="33"/>
          <w:szCs w:val="33"/>
        </w:rPr>
      </w:pPr>
      <w:r w:rsidRPr="00C568BC">
        <w:rPr>
          <w:rFonts w:ascii="inherit" w:eastAsia="Times New Roman" w:hAnsi="inherit" w:cs="Times New Roman"/>
          <w:color w:val="343434"/>
          <w:sz w:val="33"/>
          <w:szCs w:val="33"/>
        </w:rPr>
        <w:t>ВЛИЯНИЕ РАЗНЫХ ДОЗ БИОПРЕПАРАТОВ НА УРОЖАЙНОСТЬ И БИОМЕТРИЧЕСКИЙ ПОКАЗАТЕЛЬ ЛЮЦЕРНЫ</w:t>
      </w:r>
    </w:p>
    <w:p w:rsidR="00C568BC" w:rsidRPr="00C568BC" w:rsidRDefault="00C568BC" w:rsidP="00C568BC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C568BC">
        <w:rPr>
          <w:rFonts w:ascii="Times New Roman" w:eastAsia="Times New Roman" w:hAnsi="Times New Roman" w:cs="Times New Roman"/>
          <w:sz w:val="19"/>
          <w:szCs w:val="19"/>
        </w:rPr>
        <w:t>Жакеева</w:t>
      </w:r>
      <w:proofErr w:type="spellEnd"/>
      <w:r w:rsidRPr="00C568BC">
        <w:rPr>
          <w:rFonts w:ascii="Times New Roman" w:eastAsia="Times New Roman" w:hAnsi="Times New Roman" w:cs="Times New Roman"/>
          <w:sz w:val="19"/>
          <w:szCs w:val="19"/>
        </w:rPr>
        <w:t xml:space="preserve"> М.Б.</w:t>
      </w:r>
      <w:r w:rsidRPr="00C568BC">
        <w:rPr>
          <w:rFonts w:ascii="Times New Roman" w:eastAsia="Times New Roman" w:hAnsi="Times New Roman" w:cs="Times New Roman"/>
          <w:sz w:val="19"/>
        </w:rPr>
        <w:t>  </w:t>
      </w:r>
      <w:r w:rsidRPr="00C568BC">
        <w:rPr>
          <w:rFonts w:ascii="Times New Roman" w:eastAsia="Times New Roman" w:hAnsi="Times New Roman" w:cs="Times New Roman"/>
          <w:b/>
          <w:bCs/>
          <w:color w:val="FFFFFF"/>
          <w:sz w:val="14"/>
        </w:rPr>
        <w:t>1</w:t>
      </w:r>
      <w:r w:rsidRPr="00C568B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C568BC">
        <w:rPr>
          <w:rFonts w:ascii="Times New Roman" w:eastAsia="Times New Roman" w:hAnsi="Times New Roman" w:cs="Times New Roman"/>
          <w:sz w:val="19"/>
          <w:szCs w:val="19"/>
        </w:rPr>
        <w:t>Бекенова</w:t>
      </w:r>
      <w:proofErr w:type="spellEnd"/>
      <w:r w:rsidRPr="00C568BC">
        <w:rPr>
          <w:rFonts w:ascii="Times New Roman" w:eastAsia="Times New Roman" w:hAnsi="Times New Roman" w:cs="Times New Roman"/>
          <w:sz w:val="19"/>
          <w:szCs w:val="19"/>
        </w:rPr>
        <w:t xml:space="preserve"> У.С.</w:t>
      </w:r>
      <w:r w:rsidRPr="00C568BC">
        <w:rPr>
          <w:rFonts w:ascii="Times New Roman" w:eastAsia="Times New Roman" w:hAnsi="Times New Roman" w:cs="Times New Roman"/>
          <w:sz w:val="19"/>
        </w:rPr>
        <w:t>  </w:t>
      </w:r>
      <w:r w:rsidRPr="00C568BC">
        <w:rPr>
          <w:rFonts w:ascii="Times New Roman" w:eastAsia="Times New Roman" w:hAnsi="Times New Roman" w:cs="Times New Roman"/>
          <w:b/>
          <w:bCs/>
          <w:color w:val="FFFFFF"/>
          <w:sz w:val="14"/>
        </w:rPr>
        <w:t>1</w:t>
      </w:r>
      <w:r w:rsidRPr="00C568B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C568BC">
        <w:rPr>
          <w:rFonts w:ascii="Times New Roman" w:eastAsia="Times New Roman" w:hAnsi="Times New Roman" w:cs="Times New Roman"/>
          <w:sz w:val="19"/>
          <w:szCs w:val="19"/>
        </w:rPr>
        <w:t>Жумадилова</w:t>
      </w:r>
      <w:proofErr w:type="spellEnd"/>
      <w:r w:rsidRPr="00C568BC">
        <w:rPr>
          <w:rFonts w:ascii="Times New Roman" w:eastAsia="Times New Roman" w:hAnsi="Times New Roman" w:cs="Times New Roman"/>
          <w:sz w:val="19"/>
          <w:szCs w:val="19"/>
        </w:rPr>
        <w:t xml:space="preserve"> Ж.Ш.</w:t>
      </w:r>
      <w:r w:rsidRPr="00C568BC">
        <w:rPr>
          <w:rFonts w:ascii="Times New Roman" w:eastAsia="Times New Roman" w:hAnsi="Times New Roman" w:cs="Times New Roman"/>
          <w:sz w:val="19"/>
        </w:rPr>
        <w:t>  </w:t>
      </w:r>
      <w:r w:rsidRPr="00C568BC">
        <w:rPr>
          <w:rFonts w:ascii="Times New Roman" w:eastAsia="Times New Roman" w:hAnsi="Times New Roman" w:cs="Times New Roman"/>
          <w:b/>
          <w:bCs/>
          <w:color w:val="FFFFFF"/>
          <w:sz w:val="14"/>
        </w:rPr>
        <w:t>1</w:t>
      </w:r>
      <w:r w:rsidRPr="00C568B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C568BC">
        <w:rPr>
          <w:rFonts w:ascii="Times New Roman" w:eastAsia="Times New Roman" w:hAnsi="Times New Roman" w:cs="Times New Roman"/>
          <w:sz w:val="19"/>
          <w:szCs w:val="19"/>
        </w:rPr>
        <w:t>Шорабаев</w:t>
      </w:r>
      <w:proofErr w:type="spellEnd"/>
      <w:r w:rsidRPr="00C568BC">
        <w:rPr>
          <w:rFonts w:ascii="Times New Roman" w:eastAsia="Times New Roman" w:hAnsi="Times New Roman" w:cs="Times New Roman"/>
          <w:sz w:val="19"/>
          <w:szCs w:val="19"/>
        </w:rPr>
        <w:t xml:space="preserve"> Е.Ж.</w:t>
      </w:r>
      <w:r w:rsidRPr="00C568BC">
        <w:rPr>
          <w:rFonts w:ascii="Times New Roman" w:eastAsia="Times New Roman" w:hAnsi="Times New Roman" w:cs="Times New Roman"/>
          <w:sz w:val="19"/>
        </w:rPr>
        <w:t>  </w:t>
      </w:r>
      <w:r w:rsidRPr="00C568BC">
        <w:rPr>
          <w:rFonts w:ascii="Times New Roman" w:eastAsia="Times New Roman" w:hAnsi="Times New Roman" w:cs="Times New Roman"/>
          <w:b/>
          <w:bCs/>
          <w:color w:val="FFFFFF"/>
          <w:sz w:val="14"/>
        </w:rPr>
        <w:t>1</w:t>
      </w:r>
      <w:r w:rsidRPr="00C568B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C568BC">
        <w:rPr>
          <w:rFonts w:ascii="Times New Roman" w:eastAsia="Times New Roman" w:hAnsi="Times New Roman" w:cs="Times New Roman"/>
          <w:sz w:val="19"/>
          <w:szCs w:val="19"/>
        </w:rPr>
        <w:t>Абдиева</w:t>
      </w:r>
      <w:proofErr w:type="spellEnd"/>
      <w:r w:rsidRPr="00C568BC">
        <w:rPr>
          <w:rFonts w:ascii="Times New Roman" w:eastAsia="Times New Roman" w:hAnsi="Times New Roman" w:cs="Times New Roman"/>
          <w:sz w:val="19"/>
          <w:szCs w:val="19"/>
        </w:rPr>
        <w:t xml:space="preserve"> К.М.</w:t>
      </w:r>
      <w:r w:rsidRPr="00C568BC">
        <w:rPr>
          <w:rFonts w:ascii="Times New Roman" w:eastAsia="Times New Roman" w:hAnsi="Times New Roman" w:cs="Times New Roman"/>
          <w:sz w:val="19"/>
        </w:rPr>
        <w:t>  </w:t>
      </w:r>
      <w:r w:rsidRPr="00C568BC">
        <w:rPr>
          <w:rFonts w:ascii="Times New Roman" w:eastAsia="Times New Roman" w:hAnsi="Times New Roman" w:cs="Times New Roman"/>
          <w:b/>
          <w:bCs/>
          <w:color w:val="FFFFFF"/>
          <w:sz w:val="14"/>
        </w:rPr>
        <w:t>2</w:t>
      </w:r>
      <w:r w:rsidRPr="00C568B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C568BC">
        <w:rPr>
          <w:rFonts w:ascii="Times New Roman" w:eastAsia="Times New Roman" w:hAnsi="Times New Roman" w:cs="Times New Roman"/>
          <w:sz w:val="19"/>
          <w:szCs w:val="19"/>
        </w:rPr>
        <w:t>Саданов</w:t>
      </w:r>
      <w:proofErr w:type="spellEnd"/>
      <w:r w:rsidRPr="00C568BC">
        <w:rPr>
          <w:rFonts w:ascii="Times New Roman" w:eastAsia="Times New Roman" w:hAnsi="Times New Roman" w:cs="Times New Roman"/>
          <w:sz w:val="19"/>
          <w:szCs w:val="19"/>
        </w:rPr>
        <w:t xml:space="preserve"> А.К.</w:t>
      </w:r>
      <w:r w:rsidRPr="00C568BC">
        <w:rPr>
          <w:rFonts w:ascii="Times New Roman" w:eastAsia="Times New Roman" w:hAnsi="Times New Roman" w:cs="Times New Roman"/>
          <w:sz w:val="19"/>
        </w:rPr>
        <w:t> </w:t>
      </w:r>
      <w:r w:rsidRPr="00C568BC">
        <w:rPr>
          <w:rFonts w:ascii="Times New Roman" w:eastAsia="Times New Roman" w:hAnsi="Times New Roman" w:cs="Times New Roman"/>
          <w:b/>
          <w:bCs/>
          <w:color w:val="FFFFFF"/>
          <w:sz w:val="14"/>
        </w:rPr>
        <w:t>3</w:t>
      </w:r>
    </w:p>
    <w:p w:rsidR="00C568BC" w:rsidRPr="00C568BC" w:rsidRDefault="00F23DF7" w:rsidP="00C568BC">
      <w:pPr>
        <w:shd w:val="clear" w:color="auto" w:fill="FAFAFA"/>
        <w:spacing w:before="300" w:after="30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F23DF7">
        <w:rPr>
          <w:rFonts w:ascii="Times New Roman" w:eastAsia="Times New Roman" w:hAnsi="Times New Roman" w:cs="Times New Roman"/>
          <w:sz w:val="19"/>
          <w:szCs w:val="19"/>
        </w:rPr>
        <w:pict>
          <v:rect id="_x0000_i1026" style="width:0;height:0" o:hralign="center" o:hrstd="t" o:hr="t" fillcolor="#a0a0a0" stroked="f"/>
        </w:pict>
      </w:r>
    </w:p>
    <w:p w:rsidR="00C568BC" w:rsidRPr="00C568BC" w:rsidRDefault="00C568BC" w:rsidP="00C568BC">
      <w:pPr>
        <w:shd w:val="clear" w:color="auto" w:fill="FAFAFA"/>
        <w:spacing w:before="300" w:after="30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568BC">
        <w:rPr>
          <w:rFonts w:ascii="Times New Roman" w:eastAsia="Times New Roman" w:hAnsi="Times New Roman" w:cs="Times New Roman"/>
          <w:b/>
          <w:bCs/>
          <w:color w:val="FFFFFF"/>
          <w:sz w:val="14"/>
        </w:rPr>
        <w:t>1</w:t>
      </w:r>
      <w:r w:rsidRPr="00C568BC">
        <w:rPr>
          <w:rFonts w:ascii="Times New Roman" w:eastAsia="Times New Roman" w:hAnsi="Times New Roman" w:cs="Times New Roman"/>
          <w:sz w:val="19"/>
        </w:rPr>
        <w:t> </w:t>
      </w:r>
      <w:r w:rsidRPr="00C568BC">
        <w:rPr>
          <w:rFonts w:ascii="Times New Roman" w:eastAsia="Times New Roman" w:hAnsi="Times New Roman" w:cs="Times New Roman"/>
          <w:sz w:val="19"/>
          <w:szCs w:val="19"/>
        </w:rPr>
        <w:t>Филиал «Прикладная микробиология» Института микробиологии и вирусологии</w:t>
      </w:r>
    </w:p>
    <w:p w:rsidR="00C568BC" w:rsidRPr="00C568BC" w:rsidRDefault="00C568BC" w:rsidP="00C568BC">
      <w:pPr>
        <w:shd w:val="clear" w:color="auto" w:fill="FAFAFA"/>
        <w:spacing w:before="300" w:after="30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568BC">
        <w:rPr>
          <w:rFonts w:ascii="Times New Roman" w:eastAsia="Times New Roman" w:hAnsi="Times New Roman" w:cs="Times New Roman"/>
          <w:b/>
          <w:bCs/>
          <w:color w:val="FFFFFF"/>
          <w:sz w:val="14"/>
        </w:rPr>
        <w:t>2</w:t>
      </w:r>
      <w:r w:rsidRPr="00C568BC">
        <w:rPr>
          <w:rFonts w:ascii="Times New Roman" w:eastAsia="Times New Roman" w:hAnsi="Times New Roman" w:cs="Times New Roman"/>
          <w:sz w:val="19"/>
        </w:rPr>
        <w:t> </w:t>
      </w:r>
      <w:proofErr w:type="spellStart"/>
      <w:r w:rsidRPr="00C568BC">
        <w:rPr>
          <w:rFonts w:ascii="Times New Roman" w:eastAsia="Times New Roman" w:hAnsi="Times New Roman" w:cs="Times New Roman"/>
          <w:sz w:val="19"/>
          <w:szCs w:val="19"/>
        </w:rPr>
        <w:t>Атырауский</w:t>
      </w:r>
      <w:proofErr w:type="spellEnd"/>
      <w:r w:rsidRPr="00C568BC">
        <w:rPr>
          <w:rFonts w:ascii="Times New Roman" w:eastAsia="Times New Roman" w:hAnsi="Times New Roman" w:cs="Times New Roman"/>
          <w:sz w:val="19"/>
          <w:szCs w:val="19"/>
        </w:rPr>
        <w:t xml:space="preserve"> государственный университет им. </w:t>
      </w:r>
      <w:proofErr w:type="spellStart"/>
      <w:r w:rsidRPr="00C568BC">
        <w:rPr>
          <w:rFonts w:ascii="Times New Roman" w:eastAsia="Times New Roman" w:hAnsi="Times New Roman" w:cs="Times New Roman"/>
          <w:sz w:val="19"/>
          <w:szCs w:val="19"/>
        </w:rPr>
        <w:t>Х.Досмагамбетова</w:t>
      </w:r>
      <w:proofErr w:type="spellEnd"/>
    </w:p>
    <w:p w:rsidR="00C568BC" w:rsidRPr="00C568BC" w:rsidRDefault="00C568BC" w:rsidP="00C568BC">
      <w:pPr>
        <w:shd w:val="clear" w:color="auto" w:fill="FAFAFA"/>
        <w:spacing w:before="300" w:after="30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C568BC">
        <w:rPr>
          <w:rFonts w:ascii="Times New Roman" w:eastAsia="Times New Roman" w:hAnsi="Times New Roman" w:cs="Times New Roman"/>
          <w:b/>
          <w:bCs/>
          <w:color w:val="FFFFFF"/>
          <w:sz w:val="14"/>
        </w:rPr>
        <w:t>3</w:t>
      </w:r>
      <w:r w:rsidRPr="00C568BC">
        <w:rPr>
          <w:rFonts w:ascii="Times New Roman" w:eastAsia="Times New Roman" w:hAnsi="Times New Roman" w:cs="Times New Roman"/>
          <w:sz w:val="19"/>
        </w:rPr>
        <w:t> </w:t>
      </w:r>
      <w:r w:rsidRPr="00C568BC">
        <w:rPr>
          <w:rFonts w:ascii="Times New Roman" w:eastAsia="Times New Roman" w:hAnsi="Times New Roman" w:cs="Times New Roman"/>
          <w:sz w:val="19"/>
          <w:szCs w:val="19"/>
        </w:rPr>
        <w:t>Институт микробиологии и вирусологии</w:t>
      </w:r>
    </w:p>
    <w:p w:rsidR="00C568BC" w:rsidRPr="00C568BC" w:rsidRDefault="00C568BC" w:rsidP="00C568B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8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Вскоре после того, как М.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Бейеринк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(1888) изолировал клубеньковые бактерии бобовых растений, возникла идея использовать эти бактерии для улучшения образования клубеньков и усиления фиксации атмосферного азота. Впервые препарат клубеньковых бактерий под названием «нитрагин» был приготовлен в 1896 г. в Германии Ф.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Ноббе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и JI.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Гильтнером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. Позднее под различными наименованиями культуры клубеньковых бактерий начали готовить в других странах. В 1906 г. в Англии В.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Боттомлей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стал производить «нитрагин», в 1907 г. в США Ф.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Гаррисон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и Б.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Барлоу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предложили соответствующий препарат «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нитрокультура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». В том же году в России, Т. Будинов начал применять препарат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Rhizobium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, именовавшийся здесь «нитрагином». В настоящее время препараты клубеньковых бактерий широко используют в разных странах под различными названиями. Так, во Франции они именуются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N-germ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, в Чехословакии -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нитразон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, в СНГ - нитрагин,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ризоторфин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и т.д.     Использование препаратов клубеньковых бактерий для заражения семян бобовых растений совершенно необходимо, когда в данной местности вводятся новые культуры бобовых, и в составе флоры нет перекрестно заражающихся с ними растений. Такая обстановка возникла в нашей стране при возделывании соевых бобов в новых зонах. При этом клубеньков на корнях бобовых растений практически не было. Инокуляция обеспечивала образование клубеньков и, следовательно, осуществление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азотфиксации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. В результате увеличивались урожай и содержание белка в растительной массе и зерне. В целесообразности применения инокуляции для новых культур бобовых растений, а также вновь осваиваемых земельных площадей нет сомнения. Значительно труднее решается вопрос о старопахотных, хорошо окультуренных почвах, на которых уже давно возделываются определенные виды бобовых растений. Можно предположить, что в таких почвах уже сложились достаточно стабильные микробные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ценозы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, в составе которых имеются и клубеньковые бактерии культурных бобовых растений. Нужна ли здесь инокуляция и будет ли она себя оправдывать? Этот вопрос интересует исследователей давно. Для его проверки были поставлены многочисленные опыты. В европейской части СНГ массовые опыты с инокуляцией разных бобовых культур были проведены Е.Н.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Мишустиным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и В.В. Бернардом. Результат оказался положительным, и в большинстве случаев инокуляция дала заметное увеличение урожая. Лучший эффект отмечался на кислых почвах. Как же объяснить положительное действие заражения бобовых растений культурой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Rhizobium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в тех случаях, когда почвы давно освоены и имеют в составе своей микрофлоры клубеньковые бактерии? Во-первых, в природных условиях может происходить перекрестное заражение, то есть высеваемые бобовые растения заражаются клубеньковыми бактериями близких групп растений. В таких случаях клубеньки хотя и образуются, но функционируют неполноценно. При искусственной инокуляции в корень бобового растения проникает активная раса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Rhizobium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, нанесенная на высеваемые семена. Во-вторых, клубеньковые бактерии, имеющиеся в почве, не занятой бобовыми растениями, существуют, как обычные сапрофиты. Нередко вследствие ряда причин почва оказывается неблагоприятной средой для клубеньковых бактерий. Их количество существенно уменьшается, а активность снижается. Кислые почвы, например, вредно действуют на азотфиксирующую способность клубеньковых бактерий, и при сапрофитном существовании происходит резкое снижение их ценных свойств. Поэтому в таких случаях естественное заражение не дает эффективного симбиоза, и здесь хорошо использовать препарат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Rhizobium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Массовые опыты с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нитрагинизацией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, проведенные во Всесоюзном НИИ сельскохозяйственной микробиологии, главным образом на территории европейской части страны, показали целесообразность и эффективность рассматриваемого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агроприема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Существенное повышение урожайности от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нитрагинизации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бобовых культур (люцерны, клевера, люпина, гороха, сои) получено в Сибири в опытах Г.Н. Блинкова. Довольно широко искусственная инокуляция бобовых культур клубеньковыми бактериями проводится в Чехословакии, Болгарии Польше, а также в США, Канаде, Франции, Швеции и других странах. Наиболее целесообразно </w:t>
      </w:r>
      <w:r w:rsidRPr="00C568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экспериментально установить территориальные зоны, где инокуляция дает хороший результат. Такая работа, например, проведена во Франции лабораторией почвенной микробиологии Национального центра агрономических исследований в Дижоне с люцерной - распространенной здесь бобовой культурой. Выявлено, что инокуляция необходима на кислых почвах, часто она приносит пользу на </w:t>
      </w:r>
      <w:proofErr w:type="spellStart"/>
      <w:r w:rsidRPr="00C568BC">
        <w:rPr>
          <w:rFonts w:ascii="Times New Roman" w:eastAsia="Times New Roman" w:hAnsi="Times New Roman" w:cs="Times New Roman"/>
          <w:sz w:val="24"/>
          <w:szCs w:val="24"/>
        </w:rPr>
        <w:t>декальцированных</w:t>
      </w:r>
      <w:proofErr w:type="spell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почвах, почвах побережья Атлантического океана и в ряде других мест. Заметного эффекта от заражения не наблюдалось на богатых кальцием и известкованных почвах. В общем, опыт французских исследователей подтвердил точку зрения советских ученых на условия, в которых целесообразна инокуляция. Следует отметить, что бактеризация не только увеличивает урожай бобовых растений, но и улучшает его качество. В растениях, зараженных активными расами клубеньковых бактерий, значительно больше белка и витаминов группы </w:t>
      </w:r>
      <w:proofErr w:type="gramStart"/>
      <w:r w:rsidRPr="00C568BC">
        <w:rPr>
          <w:rFonts w:ascii="Times New Roman" w:eastAsia="Times New Roman" w:hAnsi="Times New Roman" w:cs="Times New Roman"/>
          <w:sz w:val="24"/>
          <w:szCs w:val="24"/>
        </w:rPr>
        <w:t>В.</w:t>
      </w:r>
      <w:proofErr w:type="gramEnd"/>
      <w:r w:rsidRPr="00C568BC">
        <w:rPr>
          <w:rFonts w:ascii="Times New Roman" w:eastAsia="Times New Roman" w:hAnsi="Times New Roman" w:cs="Times New Roman"/>
          <w:sz w:val="24"/>
          <w:szCs w:val="24"/>
        </w:rPr>
        <w:t xml:space="preserve"> Поскольку положительное влияние инокуляции распространяется и на корни растений, то после сбора урожая пожнивные остатки более эффективно действуют на последующую культуру севооборота. Таким образом, можно сделать вывод о том, что в значительном числе случаев применение препаратов клубеньковых бактерий целесообразно[1].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Применение минеральных удобрений для восстановления плодородия почв негативно влияет на окружающую среду, нарушая систему: почва-растение-потребитель, и значительно ухудшает качество продуктов питания. Изыскание средств повышения плодородия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низкоплодородных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засоленных,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деградируемых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почв связано с разработкой новых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биоудобрений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, поскольку не приводит  к загрязнению почвы и нарушению биологического равновесия в природных экосистемах, так как часть из них являются полезными представителями микрофлоры почвы, участвующими в процессах повышения почвенного плодородия [2].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Высокая стоимость минеральных удобрений, усиливающийся энергетический кризис и загрязнение окружающей среды продуктами химизации вызвали новую волну научного интереса к микроорганизмам, способных улучшить минеральное питание растений.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Особо остро стоит вопрос по обеспечению растений азотом. Открытие явления ассоциативной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азотфиксации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обосновало возможность искусственного обогащения ризосферы растений специализированными штаммами бактерий, способных к интенсивному связыванию молекулярного азота. Поэтому во многих лабораториях мира ведутся настойчивые исследования по поиску новых штаммов микроорганизмов и их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оф-фективному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применению в растениеводстве. Для бобовых культур важнейшей группой микроорганизмов, вступающей в симбиотические взаимоотношения с высшим растением» являются клубеньковые бактерии. Заметное влияние на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азотфиксируемую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активность клубеньков оказывают разнообразные группы бактерий, функционирующие в ризосфере, на поверхности клубеньков и даже внутри клубеньковых тканей. Однако, многие вопросы регуляции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бобово-ризобиального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симбиоза путем инокуляции семян клубеньковыми бактериями в комплексе с ассоциативными азотфиксаторами, и их влияние на минеральное питание и их продуктивность изучено мало.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Для того чтобы реализовать высокий потенциал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азотфиксации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у бобовых культур и для повышения продуктивности последующих культур в севообороте, необходима инокуляция семян растений активными азотфиксирующими штаммами клубеньковых бактерий. Для повышения урожайности бобовых культур и обогащения почв биологическим азотом разработан биопрепарат «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Ризовит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АКС». Биопрепарат «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РизовитАКс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» получен на основе местных штаммов клубеньковых бактерий и поэтому приспособлен к почвенно-климатическим условиям Казахстана.  Этот биопрепарат практически вдвое повышает урожай люцерны, при этом обогащает почву легкодоступным для растений биологическим азотом [3].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Наиболее оптимальными решением проблемы повышения всхожести семян является применение биологических методов, основанных на использовании природных агентов - микроорганизмов.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Сотрудниками Института Микробиологии и Вирусологии выделены и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отселекционированы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активные штаммы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целлюлолитических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бактерий [4].  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Благодаря применению микробных препаратов на основе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целлюлолитических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бактерий, всхожесть семян люцерны повышается до 80-90%.  В силу своих биологических особенностей эти бактерий способны к синтезу гидролитических ферментов -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целлюлаз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, которые частично деградируют плотную оболочку семян, расщепляя целлюлозу, содержащуюся в ней. Этот процесс заменяет скарификацию семян и в результате него усиливается транспорт воды и растворенных в ней минеральных и питательных веществ к эндосперму семян, что положительно сказывается на всхожести люцерны, дальнейшем росте и развитии проростков.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b/>
          <w:bCs/>
          <w:sz w:val="21"/>
        </w:rPr>
        <w:t>Цель исследования. 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Изучениевлияние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разных доз биопрепаратов на урожайность и биометрический показатель люцерны.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b/>
          <w:bCs/>
          <w:sz w:val="21"/>
        </w:rPr>
        <w:t>Материалы и методы исследования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Мелкоделяночные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эксперименты проводили на опытном участке университета «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Болашак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» (город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Кызылорда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). Были составлены варианты, в которых использовали  штаммы клубеньковых бактерий люцерны и их сочетания с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целлюлолитическими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  бактериями и минеральными удобрениями. Для предпосевной обработки семян в мелко-деляночных опытах использовали штаммы клубеньковых бактерий люцерны:</w:t>
      </w:r>
      <w:r w:rsidRPr="00C568BC">
        <w:rPr>
          <w:rFonts w:ascii="Times New Roman" w:eastAsia="Times New Roman" w:hAnsi="Times New Roman" w:cs="Times New Roman"/>
          <w:sz w:val="21"/>
        </w:rPr>
        <w:t> </w:t>
      </w:r>
      <w:proofErr w:type="spellStart"/>
      <w:r w:rsidRPr="00C568BC">
        <w:rPr>
          <w:rFonts w:ascii="Times New Roman" w:eastAsia="Times New Roman" w:hAnsi="Times New Roman" w:cs="Times New Roman"/>
          <w:i/>
          <w:iCs/>
          <w:sz w:val="21"/>
        </w:rPr>
        <w:t>Sinorhizobiummeliloti</w:t>
      </w:r>
      <w:proofErr w:type="spellEnd"/>
      <w:r w:rsidRPr="00C568BC">
        <w:rPr>
          <w:rFonts w:ascii="Times New Roman" w:eastAsia="Times New Roman" w:hAnsi="Times New Roman" w:cs="Times New Roman"/>
          <w:i/>
          <w:iCs/>
          <w:sz w:val="21"/>
        </w:rPr>
        <w:t> </w:t>
      </w:r>
      <w:r w:rsidRPr="00C568BC">
        <w:rPr>
          <w:rFonts w:ascii="Times New Roman" w:eastAsia="Times New Roman" w:hAnsi="Times New Roman" w:cs="Times New Roman"/>
          <w:sz w:val="21"/>
          <w:szCs w:val="21"/>
        </w:rPr>
        <w:t>ИМВ Л5-1  и в качестве минерального удобрения для люцерны использовали аммиачную селитру. В контрольном варианте использовали семена люцерны  без обработки клубеньковыми бактериями. 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В исследовании  использовали  следующие сорта люцерны:  «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Семиреченская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местная». Семена люцерны сеяли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беспокровно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, широкорядным методом, глубина заделки семян 1-1,5 см. Математические обработки данных проводилась методами дисперсионного анализа по Б.А.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Доспехову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[5].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Разработаны следующие варианты для предпосевной обработки семян люцерны на основе клубеньковых бактерий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ицеллюлолитических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бактерий (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Фитобацирин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):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Вариант №1Л контрольный (без инокуляции клубеньковыми бактериями);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Вариант №2Л (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Ф+</w:t>
      </w:r>
      <w:r w:rsidRPr="00C568BC">
        <w:rPr>
          <w:rFonts w:ascii="Times New Roman" w:eastAsia="Times New Roman" w:hAnsi="Times New Roman" w:cs="Times New Roman"/>
          <w:i/>
          <w:iCs/>
          <w:sz w:val="21"/>
        </w:rPr>
        <w:t>Sinorhizobiummeliloti</w:t>
      </w:r>
      <w:proofErr w:type="gramStart"/>
      <w:r w:rsidRPr="00C568BC">
        <w:rPr>
          <w:rFonts w:ascii="Times New Roman" w:eastAsia="Times New Roman" w:hAnsi="Times New Roman" w:cs="Times New Roman"/>
          <w:sz w:val="21"/>
          <w:szCs w:val="21"/>
        </w:rPr>
        <w:t>ИМВ</w:t>
      </w:r>
      <w:proofErr w:type="spellEnd"/>
      <w:proofErr w:type="gram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Л5-1, 200мл);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Вариант №3Л (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Ф+</w:t>
      </w:r>
      <w:r w:rsidRPr="00C568BC">
        <w:rPr>
          <w:rFonts w:ascii="Times New Roman" w:eastAsia="Times New Roman" w:hAnsi="Times New Roman" w:cs="Times New Roman"/>
          <w:i/>
          <w:iCs/>
          <w:sz w:val="21"/>
        </w:rPr>
        <w:t>Sinorhizobiummeliloti</w:t>
      </w:r>
      <w:proofErr w:type="gramStart"/>
      <w:r w:rsidRPr="00C568BC">
        <w:rPr>
          <w:rFonts w:ascii="Times New Roman" w:eastAsia="Times New Roman" w:hAnsi="Times New Roman" w:cs="Times New Roman"/>
          <w:sz w:val="21"/>
          <w:szCs w:val="21"/>
        </w:rPr>
        <w:t>ИМВ</w:t>
      </w:r>
      <w:proofErr w:type="spellEnd"/>
      <w:proofErr w:type="gram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Л5-1, 100мл);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Обработку семян люцерны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фитобацирином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проводили в день посева, продолжительность инокуляции семян - в течение  3 часов до посева, обработку семян штаммами клубеньковых бактерий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люцерныпроводили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непосредственно перед посевом.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b/>
          <w:bCs/>
          <w:sz w:val="21"/>
        </w:rPr>
        <w:t>Результаты и их обсуждение. </w:t>
      </w:r>
      <w:r w:rsidRPr="00C568BC">
        <w:rPr>
          <w:rFonts w:ascii="Times New Roman" w:eastAsia="Times New Roman" w:hAnsi="Times New Roman" w:cs="Times New Roman"/>
          <w:sz w:val="21"/>
          <w:szCs w:val="21"/>
        </w:rPr>
        <w:t>Изучена всхожесть люцерны и  количество растений на 1м</w:t>
      </w:r>
      <w:r w:rsidRPr="00C568BC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C568BC">
        <w:rPr>
          <w:rFonts w:ascii="Times New Roman" w:eastAsia="Times New Roman" w:hAnsi="Times New Roman" w:cs="Times New Roman"/>
          <w:sz w:val="21"/>
        </w:rPr>
        <w:t> </w:t>
      </w:r>
      <w:r w:rsidRPr="00C568BC">
        <w:rPr>
          <w:rFonts w:ascii="Times New Roman" w:eastAsia="Times New Roman" w:hAnsi="Times New Roman" w:cs="Times New Roman"/>
          <w:sz w:val="21"/>
          <w:szCs w:val="21"/>
        </w:rPr>
        <w:t>на каждой учетной делянке. Количество растений на 1м</w:t>
      </w:r>
      <w:r w:rsidRPr="00C568BC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C568BC">
        <w:rPr>
          <w:rFonts w:ascii="Times New Roman" w:eastAsia="Times New Roman" w:hAnsi="Times New Roman" w:cs="Times New Roman"/>
          <w:sz w:val="16"/>
          <w:vertAlign w:val="superscript"/>
        </w:rPr>
        <w:t> </w:t>
      </w:r>
      <w:r w:rsidRPr="00C568BC">
        <w:rPr>
          <w:rFonts w:ascii="Times New Roman" w:eastAsia="Times New Roman" w:hAnsi="Times New Roman" w:cs="Times New Roman"/>
          <w:sz w:val="21"/>
          <w:szCs w:val="21"/>
        </w:rPr>
        <w:t>учитывали на каждой учетной делянке. Учет густоты стояния растений при всходах и количества сохранившихся к уборке растений проведен методом наложения квадратной метровки в пяти (однолетние культуры) и трехкратной повторности (многолетние травы) на каждой одноименной делянке. Результаты всхожести люцерны и количества растений на 1м</w:t>
      </w:r>
      <w:r w:rsidRPr="00C568BC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C568BC">
        <w:rPr>
          <w:rFonts w:ascii="Times New Roman" w:eastAsia="Times New Roman" w:hAnsi="Times New Roman" w:cs="Times New Roman"/>
          <w:sz w:val="21"/>
        </w:rPr>
        <w:t> </w:t>
      </w:r>
      <w:r w:rsidRPr="00C568BC">
        <w:rPr>
          <w:rFonts w:ascii="Times New Roman" w:eastAsia="Times New Roman" w:hAnsi="Times New Roman" w:cs="Times New Roman"/>
          <w:sz w:val="21"/>
          <w:szCs w:val="21"/>
        </w:rPr>
        <w:t>представлены в таблице 1.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b/>
          <w:bCs/>
          <w:sz w:val="21"/>
        </w:rPr>
        <w:t>Таблица 1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Показатели  всхожести люцерны и количества растений на 1м</w:t>
      </w:r>
      <w:r w:rsidRPr="00C568BC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503"/>
        <w:gridCol w:w="2669"/>
        <w:gridCol w:w="2333"/>
      </w:tblGrid>
      <w:tr w:rsidR="00C568BC" w:rsidRPr="00C568BC" w:rsidTr="00C568BC"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Варианты опыта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растений, </w:t>
            </w:r>
            <w:proofErr w:type="spellStart"/>
            <w:proofErr w:type="gram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/м</w:t>
            </w:r>
            <w:r w:rsidRPr="00C568B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Всхожесть, %</w:t>
            </w:r>
          </w:p>
        </w:tc>
      </w:tr>
      <w:tr w:rsidR="00C568BC" w:rsidRPr="00C568BC" w:rsidTr="00C568BC"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№1Л (контроль)</w:t>
            </w:r>
          </w:p>
        </w:tc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C568BC" w:rsidRPr="00C568BC" w:rsidTr="00C568BC"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№2Л (</w:t>
            </w:r>
            <w:proofErr w:type="spell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Ф+</w:t>
            </w:r>
            <w:r w:rsidRPr="00C568BC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Sinorhizobiummeliloti</w:t>
            </w:r>
            <w:proofErr w:type="gram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ИМВ</w:t>
            </w:r>
            <w:proofErr w:type="spellEnd"/>
            <w:proofErr w:type="gramEnd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Л5-1, 200мл)</w:t>
            </w:r>
          </w:p>
        </w:tc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C568BC" w:rsidRPr="00C568BC" w:rsidTr="00C568BC">
        <w:tc>
          <w:tcPr>
            <w:tcW w:w="4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№3Л (</w:t>
            </w:r>
            <w:proofErr w:type="spell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Ф+</w:t>
            </w:r>
            <w:r w:rsidRPr="00C568BC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Sinorhizobiummeliloti</w:t>
            </w:r>
            <w:proofErr w:type="gram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ИМВ</w:t>
            </w:r>
            <w:proofErr w:type="spellEnd"/>
            <w:proofErr w:type="gramEnd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Л5-1, 100мл)</w:t>
            </w:r>
          </w:p>
        </w:tc>
        <w:tc>
          <w:tcPr>
            <w:tcW w:w="27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23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</w:tr>
    </w:tbl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Наибольшее количество растений люцерны на 1м</w:t>
      </w:r>
      <w:r w:rsidRPr="00C568BC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C568BC">
        <w:rPr>
          <w:rFonts w:ascii="Times New Roman" w:eastAsia="Times New Roman" w:hAnsi="Times New Roman" w:cs="Times New Roman"/>
          <w:sz w:val="16"/>
          <w:vertAlign w:val="superscript"/>
        </w:rPr>
        <w:t> </w:t>
      </w:r>
      <w:r w:rsidRPr="00C568BC">
        <w:rPr>
          <w:rFonts w:ascii="Times New Roman" w:eastAsia="Times New Roman" w:hAnsi="Times New Roman" w:cs="Times New Roman"/>
          <w:sz w:val="21"/>
          <w:szCs w:val="21"/>
        </w:rPr>
        <w:t> наблюдалось в варианте №2Л (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Ф+</w:t>
      </w:r>
      <w:r w:rsidRPr="00C568BC">
        <w:rPr>
          <w:rFonts w:ascii="Times New Roman" w:eastAsia="Times New Roman" w:hAnsi="Times New Roman" w:cs="Times New Roman"/>
          <w:i/>
          <w:iCs/>
          <w:sz w:val="21"/>
        </w:rPr>
        <w:t>Sinorhizobiummeliloti</w:t>
      </w:r>
      <w:proofErr w:type="gramStart"/>
      <w:r w:rsidRPr="00C568BC">
        <w:rPr>
          <w:rFonts w:ascii="Times New Roman" w:eastAsia="Times New Roman" w:hAnsi="Times New Roman" w:cs="Times New Roman"/>
          <w:sz w:val="21"/>
          <w:szCs w:val="21"/>
        </w:rPr>
        <w:t>ИМВ</w:t>
      </w:r>
      <w:proofErr w:type="spellEnd"/>
      <w:proofErr w:type="gram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Л5-1, 200мл) - 730 штук.  По данным всхожести у люцерны в варианте №2Л (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Ф+</w:t>
      </w:r>
      <w:r w:rsidRPr="00C568BC">
        <w:rPr>
          <w:rFonts w:ascii="Times New Roman" w:eastAsia="Times New Roman" w:hAnsi="Times New Roman" w:cs="Times New Roman"/>
          <w:i/>
          <w:iCs/>
          <w:sz w:val="21"/>
        </w:rPr>
        <w:t>Sinorhizobiummeliloti</w:t>
      </w:r>
      <w:proofErr w:type="gramStart"/>
      <w:r w:rsidRPr="00C568BC">
        <w:rPr>
          <w:rFonts w:ascii="Times New Roman" w:eastAsia="Times New Roman" w:hAnsi="Times New Roman" w:cs="Times New Roman"/>
          <w:sz w:val="21"/>
          <w:szCs w:val="21"/>
        </w:rPr>
        <w:t>ИМВ</w:t>
      </w:r>
      <w:proofErr w:type="spellEnd"/>
      <w:proofErr w:type="gram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Л5-1, 200мл) показан наилучший результат - 89%.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Был проведен биометрический анализ люцерны и проведен укос  на зеленую массу и сено. Урожайность трав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коррелирует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с высотой их роста, чем выше растения, тем больше  продуктивность их надземной массы. Высота растений определена мерной рейкой на 20 растениях (по 10 растений в двукратной повторности).  Результаты биометрического анализа и урожайность люцерны представлены в таблице 2.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b/>
          <w:bCs/>
          <w:sz w:val="21"/>
        </w:rPr>
        <w:t>Таблица 2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Биометрический анализ и оценка урожайности люцерны с использованием разных доз биопрепаратов</w:t>
      </w:r>
    </w:p>
    <w:tbl>
      <w:tblPr>
        <w:tblW w:w="963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1200"/>
        <w:gridCol w:w="1755"/>
        <w:gridCol w:w="1200"/>
        <w:gridCol w:w="2670"/>
      </w:tblGrid>
      <w:tr w:rsidR="00C568BC" w:rsidRPr="00C568BC" w:rsidTr="00C568BC">
        <w:tc>
          <w:tcPr>
            <w:tcW w:w="280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Варианты опыта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Высота,  </w:t>
            </w:r>
            <w:proofErr w:type="gram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Продуктивность зеленой массы /сена,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/га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Высота,  </w:t>
            </w:r>
            <w:proofErr w:type="gram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Продуктивность зеленой массы /сена, </w:t>
            </w:r>
            <w:proofErr w:type="spell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ц</w:t>
            </w:r>
            <w:proofErr w:type="spellEnd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/га</w:t>
            </w:r>
          </w:p>
        </w:tc>
      </w:tr>
      <w:tr w:rsidR="00C568BC" w:rsidRPr="00C568BC" w:rsidTr="00C568B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568BC" w:rsidRPr="00C568BC" w:rsidRDefault="00C568BC" w:rsidP="00C56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І-укос</w:t>
            </w:r>
            <w:proofErr w:type="spellEnd"/>
          </w:p>
        </w:tc>
        <w:tc>
          <w:tcPr>
            <w:tcW w:w="38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ІІ-укос</w:t>
            </w:r>
            <w:proofErr w:type="spellEnd"/>
          </w:p>
        </w:tc>
      </w:tr>
      <w:tr w:rsidR="00C568BC" w:rsidRPr="00C568BC" w:rsidTr="00C568BC"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№1Л (контроль)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58,3±0,2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210/11,5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57,8±0,1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211/12,4</w:t>
            </w:r>
          </w:p>
        </w:tc>
      </w:tr>
      <w:tr w:rsidR="00C568BC" w:rsidRPr="00C568BC" w:rsidTr="00C568BC"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№2Л (</w:t>
            </w:r>
            <w:proofErr w:type="spell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Ф+</w:t>
            </w:r>
            <w:r w:rsidRPr="00C568BC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Sinorhizobiummeliloti</w:t>
            </w:r>
            <w:proofErr w:type="gram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ИМВ</w:t>
            </w:r>
            <w:proofErr w:type="spellEnd"/>
            <w:proofErr w:type="gramEnd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Л5,-1, 200мл)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 66±0,2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272/14,5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65,3±0,1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274/14,8</w:t>
            </w:r>
          </w:p>
        </w:tc>
      </w:tr>
      <w:tr w:rsidR="00C568BC" w:rsidRPr="00C568BC" w:rsidTr="00C568BC"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№3Л (</w:t>
            </w:r>
            <w:proofErr w:type="spell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Ф+</w:t>
            </w:r>
            <w:r w:rsidRPr="00C568BC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Sinorhizobiummeliloti</w:t>
            </w:r>
            <w:proofErr w:type="gramStart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ИМВ</w:t>
            </w:r>
            <w:proofErr w:type="spellEnd"/>
            <w:proofErr w:type="gramEnd"/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Л5-1,100мл)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63,2±0,2</w:t>
            </w:r>
          </w:p>
        </w:tc>
        <w:tc>
          <w:tcPr>
            <w:tcW w:w="17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260/12,75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61,9±0,1</w:t>
            </w: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C568BC" w:rsidRPr="00C568BC" w:rsidRDefault="00C568BC" w:rsidP="00C568BC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8BC">
              <w:rPr>
                <w:rFonts w:ascii="Times New Roman" w:eastAsia="Times New Roman" w:hAnsi="Times New Roman" w:cs="Times New Roman"/>
                <w:sz w:val="18"/>
                <w:szCs w:val="18"/>
              </w:rPr>
              <w:t>261/12,9</w:t>
            </w:r>
          </w:p>
        </w:tc>
      </w:tr>
    </w:tbl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Проведен укос люцерны  на зеленую массу и сено, а также определены биометрические показатели  растений. Урожайность трав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коррелирует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с высотой их роста, чем выше растения, тем больше  продуктивность их надземной массы.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>В первом укосе высокую продуктивность зеленой массы показал вариант №2</w:t>
      </w:r>
      <w:proofErr w:type="gramStart"/>
      <w:r w:rsidRPr="00C568BC">
        <w:rPr>
          <w:rFonts w:ascii="Times New Roman" w:eastAsia="Times New Roman" w:hAnsi="Times New Roman" w:cs="Times New Roman"/>
          <w:sz w:val="21"/>
          <w:szCs w:val="21"/>
        </w:rPr>
        <w:t>Л(</w:t>
      </w:r>
      <w:proofErr w:type="spellStart"/>
      <w:proofErr w:type="gramEnd"/>
      <w:r w:rsidRPr="00C568BC">
        <w:rPr>
          <w:rFonts w:ascii="Times New Roman" w:eastAsia="Times New Roman" w:hAnsi="Times New Roman" w:cs="Times New Roman"/>
          <w:sz w:val="21"/>
          <w:szCs w:val="21"/>
        </w:rPr>
        <w:t>Ф+</w:t>
      </w:r>
      <w:r w:rsidRPr="00C568BC">
        <w:rPr>
          <w:rFonts w:ascii="Times New Roman" w:eastAsia="Times New Roman" w:hAnsi="Times New Roman" w:cs="Times New Roman"/>
          <w:i/>
          <w:iCs/>
          <w:sz w:val="21"/>
        </w:rPr>
        <w:t>Sinorhizobiummeliloti</w:t>
      </w:r>
      <w:r w:rsidRPr="00C568BC">
        <w:rPr>
          <w:rFonts w:ascii="Times New Roman" w:eastAsia="Times New Roman" w:hAnsi="Times New Roman" w:cs="Times New Roman"/>
          <w:sz w:val="21"/>
          <w:szCs w:val="21"/>
        </w:rPr>
        <w:t>ИМВ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Л5-1,  200мл) - 272ц/га. Во втором укосе - урожайность зеленой массы  составляла 274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ц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/га  и сена 14,8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ц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/га в варианте №2Л (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Ф+</w:t>
      </w:r>
      <w:r w:rsidRPr="00C568BC">
        <w:rPr>
          <w:rFonts w:ascii="Times New Roman" w:eastAsia="Times New Roman" w:hAnsi="Times New Roman" w:cs="Times New Roman"/>
          <w:i/>
          <w:iCs/>
          <w:sz w:val="21"/>
        </w:rPr>
        <w:t>Sinorhizobiummeliloti</w:t>
      </w:r>
      <w:proofErr w:type="gramStart"/>
      <w:r w:rsidRPr="00C568BC">
        <w:rPr>
          <w:rFonts w:ascii="Times New Roman" w:eastAsia="Times New Roman" w:hAnsi="Times New Roman" w:cs="Times New Roman"/>
          <w:sz w:val="21"/>
          <w:szCs w:val="21"/>
        </w:rPr>
        <w:t>ИМВ</w:t>
      </w:r>
      <w:proofErr w:type="spellEnd"/>
      <w:proofErr w:type="gram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Л5-1,  200мл) за счет высокого роста растений (65,3±1,4см).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b/>
          <w:bCs/>
          <w:sz w:val="21"/>
        </w:rPr>
        <w:t>Выводы. </w:t>
      </w:r>
      <w:r w:rsidRPr="00C568BC">
        <w:rPr>
          <w:rFonts w:ascii="Times New Roman" w:eastAsia="Times New Roman" w:hAnsi="Times New Roman" w:cs="Times New Roman"/>
          <w:sz w:val="21"/>
          <w:szCs w:val="21"/>
        </w:rPr>
        <w:t>Таким образом,  при использовании биопрепаратов серии «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Ризовит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АКС» показано увеличение основных показателей урожайности люцерны. Использование варианта №2Л (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Ф+</w:t>
      </w:r>
      <w:r w:rsidRPr="00C568BC">
        <w:rPr>
          <w:rFonts w:ascii="Times New Roman" w:eastAsia="Times New Roman" w:hAnsi="Times New Roman" w:cs="Times New Roman"/>
          <w:i/>
          <w:iCs/>
          <w:sz w:val="21"/>
        </w:rPr>
        <w:t>Sinorhizobiummeliloti</w:t>
      </w:r>
      <w:proofErr w:type="gramStart"/>
      <w:r w:rsidRPr="00C568BC">
        <w:rPr>
          <w:rFonts w:ascii="Times New Roman" w:eastAsia="Times New Roman" w:hAnsi="Times New Roman" w:cs="Times New Roman"/>
          <w:sz w:val="21"/>
          <w:szCs w:val="21"/>
        </w:rPr>
        <w:t>ИМВ</w:t>
      </w:r>
      <w:proofErr w:type="spellEnd"/>
      <w:proofErr w:type="gram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Л5-1, 200мл) обеспечивает увеличение всхожести семян люцерны на 23% по сравнению с контролем. В первом укосе высокую продуктивность зеленой массы  также </w:t>
      </w:r>
      <w:r w:rsidRPr="00C568BC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показал вариант №2Л - 272ц/га. Во втором укосе - урожайность зеленой массы для варианта №2Л  составляла 274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ц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/га,  сена 14,8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ц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/га, высота растений - 65,3 см.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b/>
          <w:bCs/>
          <w:sz w:val="21"/>
        </w:rPr>
        <w:t>Рецензенты: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Бакиров К.,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д.с.-х.н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., заведующий отделом селекции и семеноводства риса ТОО «Казахский научно-исследовательский институт рисоводства им. И.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Жахаева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» г.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Кызылорда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C568BC" w:rsidRPr="00C568BC" w:rsidRDefault="00C568BC" w:rsidP="00C568BC">
      <w:pPr>
        <w:spacing w:after="30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Ибадуллаева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С.Ж., </w:t>
      </w:r>
      <w:proofErr w:type="gramStart"/>
      <w:r w:rsidRPr="00C568BC">
        <w:rPr>
          <w:rFonts w:ascii="Times New Roman" w:eastAsia="Times New Roman" w:hAnsi="Times New Roman" w:cs="Times New Roman"/>
          <w:sz w:val="21"/>
          <w:szCs w:val="21"/>
        </w:rPr>
        <w:t>д.б</w:t>
      </w:r>
      <w:proofErr w:type="gramEnd"/>
      <w:r w:rsidRPr="00C568BC">
        <w:rPr>
          <w:rFonts w:ascii="Times New Roman" w:eastAsia="Times New Roman" w:hAnsi="Times New Roman" w:cs="Times New Roman"/>
          <w:sz w:val="21"/>
          <w:szCs w:val="21"/>
        </w:rPr>
        <w:t>.н., профессор кафедры биологии и географии РГП на ПХВ «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Кызылординский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государственный университет им.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Коркыт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Ата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 xml:space="preserve">» МОН РК, г. </w:t>
      </w:r>
      <w:proofErr w:type="spellStart"/>
      <w:r w:rsidRPr="00C568BC">
        <w:rPr>
          <w:rFonts w:ascii="Times New Roman" w:eastAsia="Times New Roman" w:hAnsi="Times New Roman" w:cs="Times New Roman"/>
          <w:sz w:val="21"/>
          <w:szCs w:val="21"/>
        </w:rPr>
        <w:t>Кызылорда</w:t>
      </w:r>
      <w:proofErr w:type="spellEnd"/>
      <w:r w:rsidRPr="00C568BC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C568BC" w:rsidRPr="00C568BC" w:rsidRDefault="00F23DF7" w:rsidP="00C568B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DF7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p w:rsidR="00B75216" w:rsidRPr="00B75216" w:rsidRDefault="00B75216" w:rsidP="00B7521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43434"/>
          <w:sz w:val="33"/>
          <w:szCs w:val="33"/>
        </w:rPr>
      </w:pPr>
      <w:r w:rsidRPr="00B75216">
        <w:rPr>
          <w:rFonts w:ascii="Times New Roman" w:eastAsia="Times New Roman" w:hAnsi="Times New Roman" w:cs="Times New Roman"/>
          <w:color w:val="343434"/>
          <w:sz w:val="33"/>
          <w:szCs w:val="33"/>
        </w:rPr>
        <w:t>Библиографическая ссылка</w:t>
      </w:r>
    </w:p>
    <w:p w:rsidR="00C568BC" w:rsidRPr="00B75216" w:rsidRDefault="00B75216" w:rsidP="00B75216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Жакеева</w:t>
      </w:r>
      <w:proofErr w:type="spellEnd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М.Б., </w:t>
      </w:r>
      <w:proofErr w:type="spellStart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Бекенова</w:t>
      </w:r>
      <w:proofErr w:type="spellEnd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У.С., </w:t>
      </w:r>
      <w:proofErr w:type="spellStart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Жумадилова</w:t>
      </w:r>
      <w:proofErr w:type="spellEnd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Ж.Ш., </w:t>
      </w:r>
      <w:proofErr w:type="spellStart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Шорабаев</w:t>
      </w:r>
      <w:proofErr w:type="spellEnd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Е.Ж., </w:t>
      </w:r>
      <w:proofErr w:type="spellStart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Абдиева</w:t>
      </w:r>
      <w:proofErr w:type="spellEnd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К.М., </w:t>
      </w:r>
      <w:proofErr w:type="spellStart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Саданов</w:t>
      </w:r>
      <w:proofErr w:type="spellEnd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А.К. ВЛИЯНИЕ РАЗНЫХ ДОЗ БИОПРЕПАРАТОВ НА УРОЖАЙНОСТЬ И БИОМЕТРИЧЕСКИЙ ПОКАЗАТЕЛЬ </w:t>
      </w:r>
      <w:proofErr w:type="gramStart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ЛЮЦЕРНЫ</w:t>
      </w:r>
      <w:proofErr w:type="gramEnd"/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 xml:space="preserve"> // Современные проблемы науки и образования. – 2015. – № 5. – С. 651-651;</w:t>
      </w:r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</w:rPr>
        <w:br/>
      </w:r>
      <w:r w:rsidRPr="00B75216"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</w:rPr>
        <w:t>URL: https://science-education.ru/ru/article/view?id=21887 (дата обращения: 24.05.2017).</w:t>
      </w:r>
    </w:p>
    <w:p w:rsidR="002F4018" w:rsidRDefault="002F4018" w:rsidP="00C568BC">
      <w:pPr>
        <w:jc w:val="both"/>
      </w:pPr>
    </w:p>
    <w:sectPr w:rsidR="002F4018" w:rsidSect="00F3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935"/>
    <w:multiLevelType w:val="multilevel"/>
    <w:tmpl w:val="BA70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445FF"/>
    <w:multiLevelType w:val="multilevel"/>
    <w:tmpl w:val="EA46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102FC"/>
    <w:multiLevelType w:val="multilevel"/>
    <w:tmpl w:val="6EC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C306A"/>
    <w:multiLevelType w:val="multilevel"/>
    <w:tmpl w:val="361A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8BC"/>
    <w:rsid w:val="002F4018"/>
    <w:rsid w:val="00B75216"/>
    <w:rsid w:val="00C568BC"/>
    <w:rsid w:val="00CB2A68"/>
    <w:rsid w:val="00F23DF7"/>
    <w:rsid w:val="00F3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ED"/>
  </w:style>
  <w:style w:type="paragraph" w:styleId="1">
    <w:name w:val="heading 1"/>
    <w:basedOn w:val="a"/>
    <w:link w:val="10"/>
    <w:uiPriority w:val="9"/>
    <w:qFormat/>
    <w:rsid w:val="00C56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568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568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C568BC"/>
  </w:style>
  <w:style w:type="character" w:styleId="a3">
    <w:name w:val="Hyperlink"/>
    <w:basedOn w:val="a0"/>
    <w:uiPriority w:val="99"/>
    <w:semiHidden/>
    <w:unhideWhenUsed/>
    <w:rsid w:val="00C568BC"/>
    <w:rPr>
      <w:color w:val="0000FF"/>
      <w:u w:val="single"/>
    </w:rPr>
  </w:style>
  <w:style w:type="character" w:customStyle="1" w:styleId="label">
    <w:name w:val="label"/>
    <w:basedOn w:val="a0"/>
    <w:rsid w:val="00C568BC"/>
  </w:style>
  <w:style w:type="paragraph" w:styleId="a4">
    <w:name w:val="Normal (Web)"/>
    <w:basedOn w:val="a"/>
    <w:uiPriority w:val="99"/>
    <w:unhideWhenUsed/>
    <w:rsid w:val="00C5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568BC"/>
    <w:rPr>
      <w:b/>
      <w:bCs/>
    </w:rPr>
  </w:style>
  <w:style w:type="character" w:styleId="a6">
    <w:name w:val="Emphasis"/>
    <w:basedOn w:val="a0"/>
    <w:uiPriority w:val="20"/>
    <w:qFormat/>
    <w:rsid w:val="00C568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ADADA"/>
            <w:right w:val="none" w:sz="0" w:space="0" w:color="auto"/>
          </w:divBdr>
          <w:divsChild>
            <w:div w:id="910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6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58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9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8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AEAEA"/>
            <w:right w:val="none" w:sz="0" w:space="0" w:color="auto"/>
          </w:divBdr>
          <w:divsChild>
            <w:div w:id="1721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7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7E7E7"/>
                                    <w:left w:val="none" w:sz="0" w:space="0" w:color="E7E7E7"/>
                                    <w:bottom w:val="none" w:sz="0" w:space="0" w:color="E7E7E7"/>
                                    <w:right w:val="none" w:sz="0" w:space="0" w:color="E7E7E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7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ADADA"/>
            <w:right w:val="none" w:sz="0" w:space="0" w:color="auto"/>
          </w:divBdr>
          <w:divsChild>
            <w:div w:id="17095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39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3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601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34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05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15" w:color="F0F0F0"/>
                        <w:bottom w:val="single" w:sz="6" w:space="15" w:color="F0F0F0"/>
                        <w:right w:val="single" w:sz="6" w:space="15" w:color="F0F0F0"/>
                      </w:divBdr>
                      <w:divsChild>
                        <w:div w:id="9036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12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862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32877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9914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-education.ru/ru/issue/view?id=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2167</Words>
  <Characters>12355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user</cp:lastModifiedBy>
  <cp:revision>2</cp:revision>
  <dcterms:created xsi:type="dcterms:W3CDTF">2019-04-01T11:06:00Z</dcterms:created>
  <dcterms:modified xsi:type="dcterms:W3CDTF">2019-04-01T11:06:00Z</dcterms:modified>
</cp:coreProperties>
</file>